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830" w:type="dxa"/>
        <w:jc w:val="center"/>
        <w:tblCellSpacing w:w="0" w:type="dxa"/>
        <w:tblInd w:w="167" w:type="dxa"/>
        <w:shd w:val="clear"/>
        <w:tblLayout w:type="fixed"/>
        <w:tblCellMar>
          <w:top w:w="0" w:type="dxa"/>
          <w:left w:w="0" w:type="dxa"/>
          <w:bottom w:w="0" w:type="dxa"/>
          <w:right w:w="0" w:type="dxa"/>
        </w:tblCellMar>
      </w:tblPr>
      <w:tblGrid>
        <w:gridCol w:w="8830"/>
      </w:tblGrid>
      <w:tr>
        <w:tblPrEx>
          <w:shd w:val="clear"/>
          <w:tblLayout w:type="fixed"/>
        </w:tblPrEx>
        <w:trPr>
          <w:tblCellSpacing w:w="0" w:type="dxa"/>
          <w:jc w:val="center"/>
        </w:trPr>
        <w:tc>
          <w:tcPr>
            <w:tcW w:w="8830" w:type="dxa"/>
            <w:shd w:val="clear"/>
            <w:tcMar>
              <w:top w:w="75" w:type="dxa"/>
              <w:bottom w:w="75" w:type="dxa"/>
            </w:tcMar>
            <w:vAlign w:val="center"/>
          </w:tcPr>
          <w:tbl>
            <w:tblPr>
              <w:tblW w:w="8591"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7066"/>
              <w:gridCol w:w="15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blCellSpacing w:w="15" w:type="dxa"/>
              </w:trPr>
              <w:tc>
                <w:tcPr>
                  <w:tcW w:w="7021" w:type="dxa"/>
                  <w:shd w:val="clear"/>
                  <w:tcMar>
                    <w:top w:w="75" w:type="dxa"/>
                    <w:left w:w="0" w:type="dxa"/>
                    <w:bottom w:w="75" w:type="dxa"/>
                    <w:right w:w="0" w:type="dxa"/>
                  </w:tcMar>
                  <w:vAlign w:val="center"/>
                </w:tcPr>
                <w:p>
                  <w:pPr>
                    <w:keepNext w:val="0"/>
                    <w:keepLines w:val="0"/>
                    <w:pageBreakBefore w:val="0"/>
                    <w:widowControl/>
                    <w:suppressLineNumbers w:val="0"/>
                    <w:pBdr>
                      <w:left w:val="none" w:color="auto" w:sz="0" w:space="0"/>
                      <w:bottom w:val="none" w:color="auto" w:sz="0" w:space="0"/>
                      <w:right w:val="none" w:color="auto" w:sz="0" w:space="0"/>
                    </w:pBdr>
                    <w:kinsoku/>
                    <w:wordWrap/>
                    <w:overflowPunct/>
                    <w:topLinePunct w:val="0"/>
                    <w:autoSpaceDE/>
                    <w:autoSpaceDN/>
                    <w:bidi w:val="0"/>
                    <w:adjustRightInd w:val="0"/>
                    <w:snapToGrid w:val="0"/>
                    <w:spacing w:line="18" w:lineRule="atLeast"/>
                    <w:ind w:left="0" w:leftChars="0" w:right="0" w:rightChars="0" w:firstLine="0" w:firstLineChars="0"/>
                    <w:jc w:val="center"/>
                    <w:textAlignment w:val="auto"/>
                    <w:outlineLvl w:val="9"/>
                    <w:rPr>
                      <w:rFonts w:ascii="宋体" w:hAnsi="宋体" w:eastAsia="宋体" w:cs="宋体"/>
                      <w:b/>
                      <w:color w:val="FF0000"/>
                      <w:spacing w:val="-75"/>
                      <w:kern w:val="0"/>
                      <w:sz w:val="60"/>
                      <w:szCs w:val="60"/>
                      <w:bdr w:val="none" w:color="auto" w:sz="0" w:space="0"/>
                      <w:lang w:val="en-US" w:eastAsia="zh-CN" w:bidi="ar"/>
                    </w:rPr>
                  </w:pPr>
                  <w:r>
                    <w:rPr>
                      <w:rFonts w:ascii="宋体" w:hAnsi="宋体" w:eastAsia="宋体" w:cs="宋体"/>
                      <w:b/>
                      <w:color w:val="FF0000"/>
                      <w:spacing w:val="-75"/>
                      <w:kern w:val="0"/>
                      <w:sz w:val="60"/>
                      <w:szCs w:val="60"/>
                      <w:bdr w:val="none" w:color="auto" w:sz="0" w:space="0"/>
                      <w:lang w:val="en-US" w:eastAsia="zh-CN" w:bidi="ar"/>
                    </w:rPr>
                    <w:t>国</w:t>
                  </w:r>
                  <w:r>
                    <w:rPr>
                      <w:rFonts w:hint="eastAsia" w:ascii="宋体" w:hAnsi="宋体" w:eastAsia="宋体" w:cs="宋体"/>
                      <w:b/>
                      <w:color w:val="FF0000"/>
                      <w:spacing w:val="-75"/>
                      <w:kern w:val="0"/>
                      <w:sz w:val="60"/>
                      <w:szCs w:val="60"/>
                      <w:bdr w:val="none" w:color="auto" w:sz="0" w:space="0"/>
                      <w:lang w:val="en-US" w:eastAsia="zh-CN" w:bidi="ar"/>
                    </w:rPr>
                    <w:t xml:space="preserve"> </w:t>
                  </w:r>
                  <w:r>
                    <w:rPr>
                      <w:rFonts w:ascii="宋体" w:hAnsi="宋体" w:eastAsia="宋体" w:cs="宋体"/>
                      <w:b/>
                      <w:color w:val="FF0000"/>
                      <w:spacing w:val="-75"/>
                      <w:kern w:val="0"/>
                      <w:sz w:val="60"/>
                      <w:szCs w:val="60"/>
                      <w:bdr w:val="none" w:color="auto" w:sz="0" w:space="0"/>
                      <w:lang w:val="en-US" w:eastAsia="zh-CN" w:bidi="ar"/>
                    </w:rPr>
                    <w:t>家</w:t>
                  </w:r>
                  <w:r>
                    <w:rPr>
                      <w:rFonts w:hint="eastAsia" w:ascii="宋体" w:hAnsi="宋体" w:eastAsia="宋体" w:cs="宋体"/>
                      <w:b/>
                      <w:color w:val="FF0000"/>
                      <w:spacing w:val="-75"/>
                      <w:kern w:val="0"/>
                      <w:sz w:val="60"/>
                      <w:szCs w:val="60"/>
                      <w:bdr w:val="none" w:color="auto" w:sz="0" w:space="0"/>
                      <w:lang w:val="en-US" w:eastAsia="zh-CN" w:bidi="ar"/>
                    </w:rPr>
                    <w:t xml:space="preserve"> </w:t>
                  </w:r>
                  <w:r>
                    <w:rPr>
                      <w:rFonts w:ascii="宋体" w:hAnsi="宋体" w:eastAsia="宋体" w:cs="宋体"/>
                      <w:b/>
                      <w:color w:val="FF0000"/>
                      <w:spacing w:val="-75"/>
                      <w:kern w:val="0"/>
                      <w:sz w:val="60"/>
                      <w:szCs w:val="60"/>
                      <w:bdr w:val="none" w:color="auto" w:sz="0" w:space="0"/>
                      <w:lang w:val="en-US" w:eastAsia="zh-CN" w:bidi="ar"/>
                    </w:rPr>
                    <w:t>卫</w:t>
                  </w:r>
                  <w:r>
                    <w:rPr>
                      <w:rFonts w:hint="eastAsia" w:ascii="宋体" w:hAnsi="宋体" w:eastAsia="宋体" w:cs="宋体"/>
                      <w:b/>
                      <w:color w:val="FF0000"/>
                      <w:spacing w:val="-75"/>
                      <w:kern w:val="0"/>
                      <w:sz w:val="60"/>
                      <w:szCs w:val="60"/>
                      <w:bdr w:val="none" w:color="auto" w:sz="0" w:space="0"/>
                      <w:lang w:val="en-US" w:eastAsia="zh-CN" w:bidi="ar"/>
                    </w:rPr>
                    <w:t xml:space="preserve"> </w:t>
                  </w:r>
                  <w:r>
                    <w:rPr>
                      <w:rFonts w:ascii="宋体" w:hAnsi="宋体" w:eastAsia="宋体" w:cs="宋体"/>
                      <w:b/>
                      <w:color w:val="FF0000"/>
                      <w:spacing w:val="-75"/>
                      <w:kern w:val="0"/>
                      <w:sz w:val="60"/>
                      <w:szCs w:val="60"/>
                      <w:bdr w:val="none" w:color="auto" w:sz="0" w:space="0"/>
                      <w:lang w:val="en-US" w:eastAsia="zh-CN" w:bidi="ar"/>
                    </w:rPr>
                    <w:t>生</w:t>
                  </w:r>
                  <w:r>
                    <w:rPr>
                      <w:rFonts w:hint="eastAsia" w:ascii="宋体" w:hAnsi="宋体" w:eastAsia="宋体" w:cs="宋体"/>
                      <w:b/>
                      <w:color w:val="FF0000"/>
                      <w:spacing w:val="-75"/>
                      <w:kern w:val="0"/>
                      <w:sz w:val="60"/>
                      <w:szCs w:val="60"/>
                      <w:bdr w:val="none" w:color="auto" w:sz="0" w:space="0"/>
                      <w:lang w:val="en-US" w:eastAsia="zh-CN" w:bidi="ar"/>
                    </w:rPr>
                    <w:t xml:space="preserve"> </w:t>
                  </w:r>
                  <w:r>
                    <w:rPr>
                      <w:rFonts w:ascii="宋体" w:hAnsi="宋体" w:eastAsia="宋体" w:cs="宋体"/>
                      <w:b/>
                      <w:color w:val="FF0000"/>
                      <w:spacing w:val="-75"/>
                      <w:kern w:val="0"/>
                      <w:sz w:val="60"/>
                      <w:szCs w:val="60"/>
                      <w:bdr w:val="none" w:color="auto" w:sz="0" w:space="0"/>
                      <w:lang w:val="en-US" w:eastAsia="zh-CN" w:bidi="ar"/>
                    </w:rPr>
                    <w:t>计</w:t>
                  </w:r>
                  <w:r>
                    <w:rPr>
                      <w:rFonts w:hint="eastAsia" w:ascii="宋体" w:hAnsi="宋体" w:eastAsia="宋体" w:cs="宋体"/>
                      <w:b/>
                      <w:color w:val="FF0000"/>
                      <w:spacing w:val="-75"/>
                      <w:kern w:val="0"/>
                      <w:sz w:val="60"/>
                      <w:szCs w:val="60"/>
                      <w:bdr w:val="none" w:color="auto" w:sz="0" w:space="0"/>
                      <w:lang w:val="en-US" w:eastAsia="zh-CN" w:bidi="ar"/>
                    </w:rPr>
                    <w:t xml:space="preserve"> </w:t>
                  </w:r>
                  <w:r>
                    <w:rPr>
                      <w:rFonts w:ascii="宋体" w:hAnsi="宋体" w:eastAsia="宋体" w:cs="宋体"/>
                      <w:b/>
                      <w:color w:val="FF0000"/>
                      <w:spacing w:val="-75"/>
                      <w:kern w:val="0"/>
                      <w:sz w:val="60"/>
                      <w:szCs w:val="60"/>
                      <w:bdr w:val="none" w:color="auto" w:sz="0" w:space="0"/>
                      <w:lang w:val="en-US" w:eastAsia="zh-CN" w:bidi="ar"/>
                    </w:rPr>
                    <w:t>生</w:t>
                  </w:r>
                  <w:r>
                    <w:rPr>
                      <w:rFonts w:hint="eastAsia" w:ascii="宋体" w:hAnsi="宋体" w:eastAsia="宋体" w:cs="宋体"/>
                      <w:b/>
                      <w:color w:val="FF0000"/>
                      <w:spacing w:val="-75"/>
                      <w:kern w:val="0"/>
                      <w:sz w:val="60"/>
                      <w:szCs w:val="60"/>
                      <w:bdr w:val="none" w:color="auto" w:sz="0" w:space="0"/>
                      <w:lang w:val="en-US" w:eastAsia="zh-CN" w:bidi="ar"/>
                    </w:rPr>
                    <w:t xml:space="preserve"> </w:t>
                  </w:r>
                  <w:r>
                    <w:rPr>
                      <w:rFonts w:ascii="宋体" w:hAnsi="宋体" w:eastAsia="宋体" w:cs="宋体"/>
                      <w:b/>
                      <w:color w:val="FF0000"/>
                      <w:spacing w:val="-75"/>
                      <w:kern w:val="0"/>
                      <w:sz w:val="60"/>
                      <w:szCs w:val="60"/>
                      <w:bdr w:val="none" w:color="auto" w:sz="0" w:space="0"/>
                      <w:lang w:val="en-US" w:eastAsia="zh-CN" w:bidi="ar"/>
                    </w:rPr>
                    <w:t>委</w:t>
                  </w:r>
                </w:p>
                <w:p>
                  <w:pPr>
                    <w:keepNext w:val="0"/>
                    <w:keepLines w:val="0"/>
                    <w:pageBreakBefore w:val="0"/>
                    <w:widowControl/>
                    <w:suppressLineNumbers w:val="0"/>
                    <w:pBdr>
                      <w:left w:val="none" w:color="auto" w:sz="0" w:space="0"/>
                      <w:bottom w:val="none" w:color="auto" w:sz="0" w:space="0"/>
                      <w:right w:val="none" w:color="auto" w:sz="0" w:space="0"/>
                    </w:pBdr>
                    <w:kinsoku/>
                    <w:wordWrap/>
                    <w:overflowPunct/>
                    <w:topLinePunct w:val="0"/>
                    <w:autoSpaceDE/>
                    <w:autoSpaceDN/>
                    <w:bidi w:val="0"/>
                    <w:adjustRightInd w:val="0"/>
                    <w:snapToGrid w:val="0"/>
                    <w:spacing w:line="18" w:lineRule="atLeast"/>
                    <w:ind w:left="0" w:leftChars="0" w:right="0" w:rightChars="0" w:firstLine="0" w:firstLineChars="0"/>
                    <w:jc w:val="center"/>
                    <w:textAlignment w:val="auto"/>
                    <w:outlineLvl w:val="9"/>
                    <w:rPr>
                      <w:rFonts w:ascii="宋体" w:hAnsi="宋体" w:eastAsia="宋体" w:cs="宋体"/>
                      <w:b/>
                      <w:color w:val="FF0000"/>
                      <w:spacing w:val="-75"/>
                      <w:kern w:val="0"/>
                      <w:sz w:val="60"/>
                      <w:szCs w:val="60"/>
                      <w:bdr w:val="none" w:color="auto" w:sz="0" w:space="0"/>
                      <w:lang w:val="en-US" w:eastAsia="zh-CN" w:bidi="ar"/>
                    </w:rPr>
                  </w:pPr>
                  <w:r>
                    <w:rPr>
                      <w:rFonts w:ascii="宋体" w:hAnsi="宋体" w:eastAsia="宋体" w:cs="宋体"/>
                      <w:b/>
                      <w:color w:val="FF0000"/>
                      <w:spacing w:val="-75"/>
                      <w:kern w:val="0"/>
                      <w:sz w:val="60"/>
                      <w:szCs w:val="60"/>
                      <w:bdr w:val="none" w:color="auto" w:sz="0" w:space="0"/>
                      <w:lang w:val="en-US" w:eastAsia="zh-CN" w:bidi="ar"/>
                    </w:rPr>
                    <w:t>财</w:t>
                  </w:r>
                  <w:r>
                    <w:rPr>
                      <w:rFonts w:hint="eastAsia" w:ascii="宋体" w:hAnsi="宋体" w:eastAsia="宋体" w:cs="宋体"/>
                      <w:b/>
                      <w:color w:val="FF0000"/>
                      <w:spacing w:val="-75"/>
                      <w:kern w:val="0"/>
                      <w:sz w:val="60"/>
                      <w:szCs w:val="60"/>
                      <w:bdr w:val="none" w:color="auto" w:sz="0" w:space="0"/>
                      <w:lang w:val="en-US" w:eastAsia="zh-CN" w:bidi="ar"/>
                    </w:rPr>
                    <w:t xml:space="preserve"> </w:t>
                  </w:r>
                  <w:r>
                    <w:rPr>
                      <w:rFonts w:ascii="宋体" w:hAnsi="宋体" w:eastAsia="宋体" w:cs="宋体"/>
                      <w:b/>
                      <w:color w:val="FF0000"/>
                      <w:spacing w:val="-75"/>
                      <w:kern w:val="0"/>
                      <w:sz w:val="60"/>
                      <w:szCs w:val="60"/>
                      <w:bdr w:val="none" w:color="auto" w:sz="0" w:space="0"/>
                      <w:lang w:val="en-US" w:eastAsia="zh-CN" w:bidi="ar"/>
                    </w:rPr>
                    <w:t>政</w:t>
                  </w:r>
                  <w:r>
                    <w:rPr>
                      <w:rFonts w:hint="eastAsia" w:ascii="宋体" w:hAnsi="宋体" w:eastAsia="宋体" w:cs="宋体"/>
                      <w:b/>
                      <w:color w:val="FF0000"/>
                      <w:spacing w:val="-75"/>
                      <w:kern w:val="0"/>
                      <w:sz w:val="60"/>
                      <w:szCs w:val="60"/>
                      <w:bdr w:val="none" w:color="auto" w:sz="0" w:space="0"/>
                      <w:lang w:val="en-US" w:eastAsia="zh-CN" w:bidi="ar"/>
                    </w:rPr>
                    <w:t xml:space="preserve"> </w:t>
                  </w:r>
                  <w:r>
                    <w:rPr>
                      <w:rFonts w:ascii="宋体" w:hAnsi="宋体" w:eastAsia="宋体" w:cs="宋体"/>
                      <w:b/>
                      <w:color w:val="FF0000"/>
                      <w:spacing w:val="-75"/>
                      <w:kern w:val="0"/>
                      <w:sz w:val="60"/>
                      <w:szCs w:val="60"/>
                      <w:bdr w:val="none" w:color="auto" w:sz="0" w:space="0"/>
                      <w:lang w:val="en-US" w:eastAsia="zh-CN" w:bidi="ar"/>
                    </w:rPr>
                    <w:t>部</w:t>
                  </w:r>
                </w:p>
                <w:p>
                  <w:pPr>
                    <w:keepNext w:val="0"/>
                    <w:keepLines w:val="0"/>
                    <w:pageBreakBefore w:val="0"/>
                    <w:widowControl/>
                    <w:suppressLineNumbers w:val="0"/>
                    <w:pBdr>
                      <w:left w:val="none" w:color="auto" w:sz="0" w:space="0"/>
                      <w:bottom w:val="none" w:color="auto" w:sz="0" w:space="0"/>
                      <w:right w:val="none" w:color="auto" w:sz="0" w:space="0"/>
                    </w:pBdr>
                    <w:kinsoku/>
                    <w:wordWrap/>
                    <w:overflowPunct/>
                    <w:topLinePunct w:val="0"/>
                    <w:autoSpaceDE/>
                    <w:autoSpaceDN/>
                    <w:bidi w:val="0"/>
                    <w:adjustRightInd w:val="0"/>
                    <w:snapToGrid w:val="0"/>
                    <w:spacing w:line="18" w:lineRule="atLeast"/>
                    <w:ind w:left="0" w:leftChars="0" w:right="0" w:rightChars="0" w:firstLine="0" w:firstLineChars="0"/>
                    <w:jc w:val="center"/>
                    <w:textAlignment w:val="auto"/>
                    <w:outlineLvl w:val="9"/>
                    <w:rPr>
                      <w:rFonts w:ascii="宋体" w:hAnsi="宋体" w:eastAsia="宋体" w:cs="宋体"/>
                      <w:b/>
                      <w:color w:val="FF0000"/>
                      <w:spacing w:val="-75"/>
                      <w:kern w:val="0"/>
                      <w:sz w:val="60"/>
                      <w:szCs w:val="60"/>
                      <w:bdr w:val="none" w:color="auto" w:sz="0" w:space="0"/>
                      <w:lang w:val="en-US" w:eastAsia="zh-CN" w:bidi="ar"/>
                    </w:rPr>
                  </w:pPr>
                  <w:r>
                    <w:rPr>
                      <w:rFonts w:ascii="宋体" w:hAnsi="宋体" w:eastAsia="宋体" w:cs="宋体"/>
                      <w:b/>
                      <w:color w:val="FF0000"/>
                      <w:spacing w:val="-75"/>
                      <w:kern w:val="0"/>
                      <w:sz w:val="60"/>
                      <w:szCs w:val="60"/>
                      <w:bdr w:val="none" w:color="auto" w:sz="0" w:space="0"/>
                      <w:lang w:val="en-US" w:eastAsia="zh-CN" w:bidi="ar"/>
                    </w:rPr>
                    <w:t>国</w:t>
                  </w:r>
                  <w:r>
                    <w:rPr>
                      <w:rFonts w:hint="eastAsia" w:ascii="宋体" w:hAnsi="宋体" w:eastAsia="宋体" w:cs="宋体"/>
                      <w:b/>
                      <w:color w:val="FF0000"/>
                      <w:spacing w:val="-75"/>
                      <w:kern w:val="0"/>
                      <w:sz w:val="60"/>
                      <w:szCs w:val="60"/>
                      <w:bdr w:val="none" w:color="auto" w:sz="0" w:space="0"/>
                      <w:lang w:val="en-US" w:eastAsia="zh-CN" w:bidi="ar"/>
                    </w:rPr>
                    <w:t xml:space="preserve"> </w:t>
                  </w:r>
                  <w:r>
                    <w:rPr>
                      <w:rFonts w:ascii="宋体" w:hAnsi="宋体" w:eastAsia="宋体" w:cs="宋体"/>
                      <w:b/>
                      <w:color w:val="FF0000"/>
                      <w:spacing w:val="-75"/>
                      <w:kern w:val="0"/>
                      <w:sz w:val="60"/>
                      <w:szCs w:val="60"/>
                      <w:bdr w:val="none" w:color="auto" w:sz="0" w:space="0"/>
                      <w:lang w:val="en-US" w:eastAsia="zh-CN" w:bidi="ar"/>
                    </w:rPr>
                    <w:t>家</w:t>
                  </w:r>
                  <w:r>
                    <w:rPr>
                      <w:rFonts w:hint="eastAsia" w:ascii="宋体" w:hAnsi="宋体" w:eastAsia="宋体" w:cs="宋体"/>
                      <w:b/>
                      <w:color w:val="FF0000"/>
                      <w:spacing w:val="-75"/>
                      <w:kern w:val="0"/>
                      <w:sz w:val="60"/>
                      <w:szCs w:val="60"/>
                      <w:bdr w:val="none" w:color="auto" w:sz="0" w:space="0"/>
                      <w:lang w:val="en-US" w:eastAsia="zh-CN" w:bidi="ar"/>
                    </w:rPr>
                    <w:t xml:space="preserve"> </w:t>
                  </w:r>
                  <w:r>
                    <w:rPr>
                      <w:rFonts w:ascii="宋体" w:hAnsi="宋体" w:eastAsia="宋体" w:cs="宋体"/>
                      <w:b/>
                      <w:color w:val="FF0000"/>
                      <w:spacing w:val="-75"/>
                      <w:kern w:val="0"/>
                      <w:sz w:val="60"/>
                      <w:szCs w:val="60"/>
                      <w:bdr w:val="none" w:color="auto" w:sz="0" w:space="0"/>
                      <w:lang w:val="en-US" w:eastAsia="zh-CN" w:bidi="ar"/>
                    </w:rPr>
                    <w:t>发</w:t>
                  </w:r>
                  <w:r>
                    <w:rPr>
                      <w:rFonts w:hint="eastAsia" w:ascii="宋体" w:hAnsi="宋体" w:eastAsia="宋体" w:cs="宋体"/>
                      <w:b/>
                      <w:color w:val="FF0000"/>
                      <w:spacing w:val="-75"/>
                      <w:kern w:val="0"/>
                      <w:sz w:val="60"/>
                      <w:szCs w:val="60"/>
                      <w:bdr w:val="none" w:color="auto" w:sz="0" w:space="0"/>
                      <w:lang w:val="en-US" w:eastAsia="zh-CN" w:bidi="ar"/>
                    </w:rPr>
                    <w:t xml:space="preserve"> </w:t>
                  </w:r>
                  <w:r>
                    <w:rPr>
                      <w:rFonts w:ascii="宋体" w:hAnsi="宋体" w:eastAsia="宋体" w:cs="宋体"/>
                      <w:b/>
                      <w:color w:val="FF0000"/>
                      <w:spacing w:val="-75"/>
                      <w:kern w:val="0"/>
                      <w:sz w:val="60"/>
                      <w:szCs w:val="60"/>
                      <w:bdr w:val="none" w:color="auto" w:sz="0" w:space="0"/>
                      <w:lang w:val="en-US" w:eastAsia="zh-CN" w:bidi="ar"/>
                    </w:rPr>
                    <w:t>展</w:t>
                  </w:r>
                  <w:r>
                    <w:rPr>
                      <w:rFonts w:hint="eastAsia" w:ascii="宋体" w:hAnsi="宋体" w:eastAsia="宋体" w:cs="宋体"/>
                      <w:b/>
                      <w:color w:val="FF0000"/>
                      <w:spacing w:val="-75"/>
                      <w:kern w:val="0"/>
                      <w:sz w:val="60"/>
                      <w:szCs w:val="60"/>
                      <w:bdr w:val="none" w:color="auto" w:sz="0" w:space="0"/>
                      <w:lang w:val="en-US" w:eastAsia="zh-CN" w:bidi="ar"/>
                    </w:rPr>
                    <w:t xml:space="preserve"> </w:t>
                  </w:r>
                  <w:r>
                    <w:rPr>
                      <w:rFonts w:ascii="宋体" w:hAnsi="宋体" w:eastAsia="宋体" w:cs="宋体"/>
                      <w:b/>
                      <w:color w:val="FF0000"/>
                      <w:spacing w:val="-75"/>
                      <w:kern w:val="0"/>
                      <w:sz w:val="60"/>
                      <w:szCs w:val="60"/>
                      <w:bdr w:val="none" w:color="auto" w:sz="0" w:space="0"/>
                      <w:lang w:val="en-US" w:eastAsia="zh-CN" w:bidi="ar"/>
                    </w:rPr>
                    <w:t>改</w:t>
                  </w:r>
                  <w:r>
                    <w:rPr>
                      <w:rFonts w:hint="eastAsia" w:ascii="宋体" w:hAnsi="宋体" w:eastAsia="宋体" w:cs="宋体"/>
                      <w:b/>
                      <w:color w:val="FF0000"/>
                      <w:spacing w:val="-75"/>
                      <w:kern w:val="0"/>
                      <w:sz w:val="60"/>
                      <w:szCs w:val="60"/>
                      <w:bdr w:val="none" w:color="auto" w:sz="0" w:space="0"/>
                      <w:lang w:val="en-US" w:eastAsia="zh-CN" w:bidi="ar"/>
                    </w:rPr>
                    <w:t xml:space="preserve"> </w:t>
                  </w:r>
                  <w:r>
                    <w:rPr>
                      <w:rFonts w:ascii="宋体" w:hAnsi="宋体" w:eastAsia="宋体" w:cs="宋体"/>
                      <w:b/>
                      <w:color w:val="FF0000"/>
                      <w:spacing w:val="-75"/>
                      <w:kern w:val="0"/>
                      <w:sz w:val="60"/>
                      <w:szCs w:val="60"/>
                      <w:bdr w:val="none" w:color="auto" w:sz="0" w:space="0"/>
                      <w:lang w:val="en-US" w:eastAsia="zh-CN" w:bidi="ar"/>
                    </w:rPr>
                    <w:t>革</w:t>
                  </w:r>
                  <w:r>
                    <w:rPr>
                      <w:rFonts w:hint="eastAsia" w:ascii="宋体" w:hAnsi="宋体" w:eastAsia="宋体" w:cs="宋体"/>
                      <w:b/>
                      <w:color w:val="FF0000"/>
                      <w:spacing w:val="-75"/>
                      <w:kern w:val="0"/>
                      <w:sz w:val="60"/>
                      <w:szCs w:val="60"/>
                      <w:bdr w:val="none" w:color="auto" w:sz="0" w:space="0"/>
                      <w:lang w:val="en-US" w:eastAsia="zh-CN" w:bidi="ar"/>
                    </w:rPr>
                    <w:t xml:space="preserve"> </w:t>
                  </w:r>
                  <w:r>
                    <w:rPr>
                      <w:rFonts w:ascii="宋体" w:hAnsi="宋体" w:eastAsia="宋体" w:cs="宋体"/>
                      <w:b/>
                      <w:color w:val="FF0000"/>
                      <w:spacing w:val="-75"/>
                      <w:kern w:val="0"/>
                      <w:sz w:val="60"/>
                      <w:szCs w:val="60"/>
                      <w:bdr w:val="none" w:color="auto" w:sz="0" w:space="0"/>
                      <w:lang w:val="en-US" w:eastAsia="zh-CN" w:bidi="ar"/>
                    </w:rPr>
                    <w:t>委</w:t>
                  </w:r>
                </w:p>
                <w:p>
                  <w:pPr>
                    <w:keepNext w:val="0"/>
                    <w:keepLines w:val="0"/>
                    <w:pageBreakBefore w:val="0"/>
                    <w:widowControl/>
                    <w:suppressLineNumbers w:val="0"/>
                    <w:pBdr>
                      <w:left w:val="none" w:color="auto" w:sz="0" w:space="0"/>
                      <w:bottom w:val="none" w:color="auto" w:sz="0" w:space="0"/>
                      <w:right w:val="none" w:color="auto" w:sz="0" w:space="0"/>
                    </w:pBdr>
                    <w:kinsoku/>
                    <w:wordWrap/>
                    <w:overflowPunct/>
                    <w:topLinePunct w:val="0"/>
                    <w:autoSpaceDE/>
                    <w:autoSpaceDN/>
                    <w:bidi w:val="0"/>
                    <w:adjustRightInd w:val="0"/>
                    <w:snapToGrid w:val="0"/>
                    <w:spacing w:line="18" w:lineRule="atLeast"/>
                    <w:ind w:left="0" w:leftChars="0" w:right="0" w:rightChars="0" w:firstLine="0" w:firstLineChars="0"/>
                    <w:jc w:val="center"/>
                    <w:textAlignment w:val="auto"/>
                    <w:outlineLvl w:val="9"/>
                    <w:rPr>
                      <w:rFonts w:ascii="宋体" w:hAnsi="宋体" w:eastAsia="宋体" w:cs="宋体"/>
                      <w:b/>
                      <w:color w:val="FF0000"/>
                      <w:spacing w:val="-75"/>
                      <w:kern w:val="0"/>
                      <w:sz w:val="60"/>
                      <w:szCs w:val="60"/>
                      <w:bdr w:val="none" w:color="auto" w:sz="0" w:space="0"/>
                      <w:lang w:val="en-US" w:eastAsia="zh-CN" w:bidi="ar"/>
                    </w:rPr>
                  </w:pPr>
                  <w:r>
                    <w:rPr>
                      <w:rFonts w:ascii="宋体" w:hAnsi="宋体" w:eastAsia="宋体" w:cs="宋体"/>
                      <w:b/>
                      <w:color w:val="FF0000"/>
                      <w:spacing w:val="-75"/>
                      <w:kern w:val="0"/>
                      <w:sz w:val="60"/>
                      <w:szCs w:val="60"/>
                      <w:bdr w:val="none" w:color="auto" w:sz="0" w:space="0"/>
                      <w:lang w:val="en-US" w:eastAsia="zh-CN" w:bidi="ar"/>
                    </w:rPr>
                    <w:t>人</w:t>
                  </w:r>
                  <w:r>
                    <w:rPr>
                      <w:rFonts w:hint="eastAsia" w:ascii="宋体" w:hAnsi="宋体" w:eastAsia="宋体" w:cs="宋体"/>
                      <w:b/>
                      <w:color w:val="FF0000"/>
                      <w:spacing w:val="-75"/>
                      <w:kern w:val="0"/>
                      <w:sz w:val="60"/>
                      <w:szCs w:val="60"/>
                      <w:bdr w:val="none" w:color="auto" w:sz="0" w:space="0"/>
                      <w:lang w:val="en-US" w:eastAsia="zh-CN" w:bidi="ar"/>
                    </w:rPr>
                    <w:t xml:space="preserve"> </w:t>
                  </w:r>
                  <w:r>
                    <w:rPr>
                      <w:rFonts w:ascii="宋体" w:hAnsi="宋体" w:eastAsia="宋体" w:cs="宋体"/>
                      <w:b/>
                      <w:color w:val="FF0000"/>
                      <w:spacing w:val="-75"/>
                      <w:kern w:val="0"/>
                      <w:sz w:val="60"/>
                      <w:szCs w:val="60"/>
                      <w:bdr w:val="none" w:color="auto" w:sz="0" w:space="0"/>
                      <w:lang w:val="en-US" w:eastAsia="zh-CN" w:bidi="ar"/>
                    </w:rPr>
                    <w:t>力</w:t>
                  </w:r>
                  <w:r>
                    <w:rPr>
                      <w:rFonts w:hint="eastAsia" w:ascii="宋体" w:hAnsi="宋体" w:eastAsia="宋体" w:cs="宋体"/>
                      <w:b/>
                      <w:color w:val="FF0000"/>
                      <w:spacing w:val="-75"/>
                      <w:kern w:val="0"/>
                      <w:sz w:val="60"/>
                      <w:szCs w:val="60"/>
                      <w:bdr w:val="none" w:color="auto" w:sz="0" w:space="0"/>
                      <w:lang w:val="en-US" w:eastAsia="zh-CN" w:bidi="ar"/>
                    </w:rPr>
                    <w:t xml:space="preserve"> </w:t>
                  </w:r>
                  <w:r>
                    <w:rPr>
                      <w:rFonts w:ascii="宋体" w:hAnsi="宋体" w:eastAsia="宋体" w:cs="宋体"/>
                      <w:b/>
                      <w:color w:val="FF0000"/>
                      <w:spacing w:val="-75"/>
                      <w:kern w:val="0"/>
                      <w:sz w:val="60"/>
                      <w:szCs w:val="60"/>
                      <w:bdr w:val="none" w:color="auto" w:sz="0" w:space="0"/>
                      <w:lang w:val="en-US" w:eastAsia="zh-CN" w:bidi="ar"/>
                    </w:rPr>
                    <w:t>资</w:t>
                  </w:r>
                  <w:r>
                    <w:rPr>
                      <w:rFonts w:hint="eastAsia" w:ascii="宋体" w:hAnsi="宋体" w:eastAsia="宋体" w:cs="宋体"/>
                      <w:b/>
                      <w:color w:val="FF0000"/>
                      <w:spacing w:val="-75"/>
                      <w:kern w:val="0"/>
                      <w:sz w:val="60"/>
                      <w:szCs w:val="60"/>
                      <w:bdr w:val="none" w:color="auto" w:sz="0" w:space="0"/>
                      <w:lang w:val="en-US" w:eastAsia="zh-CN" w:bidi="ar"/>
                    </w:rPr>
                    <w:t xml:space="preserve"> </w:t>
                  </w:r>
                  <w:r>
                    <w:rPr>
                      <w:rFonts w:ascii="宋体" w:hAnsi="宋体" w:eastAsia="宋体" w:cs="宋体"/>
                      <w:b/>
                      <w:color w:val="FF0000"/>
                      <w:spacing w:val="-75"/>
                      <w:kern w:val="0"/>
                      <w:sz w:val="60"/>
                      <w:szCs w:val="60"/>
                      <w:bdr w:val="none" w:color="auto" w:sz="0" w:space="0"/>
                      <w:lang w:val="en-US" w:eastAsia="zh-CN" w:bidi="ar"/>
                    </w:rPr>
                    <w:t>源</w:t>
                  </w:r>
                  <w:r>
                    <w:rPr>
                      <w:rFonts w:hint="eastAsia" w:ascii="宋体" w:hAnsi="宋体" w:eastAsia="宋体" w:cs="宋体"/>
                      <w:b/>
                      <w:color w:val="FF0000"/>
                      <w:spacing w:val="-75"/>
                      <w:kern w:val="0"/>
                      <w:sz w:val="60"/>
                      <w:szCs w:val="60"/>
                      <w:bdr w:val="none" w:color="auto" w:sz="0" w:space="0"/>
                      <w:lang w:val="en-US" w:eastAsia="zh-CN" w:bidi="ar"/>
                    </w:rPr>
                    <w:t xml:space="preserve"> </w:t>
                  </w:r>
                  <w:r>
                    <w:rPr>
                      <w:rFonts w:ascii="宋体" w:hAnsi="宋体" w:eastAsia="宋体" w:cs="宋体"/>
                      <w:b/>
                      <w:color w:val="FF0000"/>
                      <w:spacing w:val="-75"/>
                      <w:kern w:val="0"/>
                      <w:sz w:val="60"/>
                      <w:szCs w:val="60"/>
                      <w:bdr w:val="none" w:color="auto" w:sz="0" w:space="0"/>
                      <w:lang w:val="en-US" w:eastAsia="zh-CN" w:bidi="ar"/>
                    </w:rPr>
                    <w:t>社</w:t>
                  </w:r>
                  <w:r>
                    <w:rPr>
                      <w:rFonts w:hint="eastAsia" w:ascii="宋体" w:hAnsi="宋体" w:eastAsia="宋体" w:cs="宋体"/>
                      <w:b/>
                      <w:color w:val="FF0000"/>
                      <w:spacing w:val="-75"/>
                      <w:kern w:val="0"/>
                      <w:sz w:val="60"/>
                      <w:szCs w:val="60"/>
                      <w:bdr w:val="none" w:color="auto" w:sz="0" w:space="0"/>
                      <w:lang w:val="en-US" w:eastAsia="zh-CN" w:bidi="ar"/>
                    </w:rPr>
                    <w:t xml:space="preserve"> </w:t>
                  </w:r>
                  <w:r>
                    <w:rPr>
                      <w:rFonts w:ascii="宋体" w:hAnsi="宋体" w:eastAsia="宋体" w:cs="宋体"/>
                      <w:b/>
                      <w:color w:val="FF0000"/>
                      <w:spacing w:val="-75"/>
                      <w:kern w:val="0"/>
                      <w:sz w:val="60"/>
                      <w:szCs w:val="60"/>
                      <w:bdr w:val="none" w:color="auto" w:sz="0" w:space="0"/>
                      <w:lang w:val="en-US" w:eastAsia="zh-CN" w:bidi="ar"/>
                    </w:rPr>
                    <w:t>会</w:t>
                  </w:r>
                  <w:r>
                    <w:rPr>
                      <w:rFonts w:hint="eastAsia" w:ascii="宋体" w:hAnsi="宋体" w:eastAsia="宋体" w:cs="宋体"/>
                      <w:b/>
                      <w:color w:val="FF0000"/>
                      <w:spacing w:val="-75"/>
                      <w:kern w:val="0"/>
                      <w:sz w:val="60"/>
                      <w:szCs w:val="60"/>
                      <w:bdr w:val="none" w:color="auto" w:sz="0" w:space="0"/>
                      <w:lang w:val="en-US" w:eastAsia="zh-CN" w:bidi="ar"/>
                    </w:rPr>
                    <w:t xml:space="preserve"> </w:t>
                  </w:r>
                  <w:r>
                    <w:rPr>
                      <w:rFonts w:ascii="宋体" w:hAnsi="宋体" w:eastAsia="宋体" w:cs="宋体"/>
                      <w:b/>
                      <w:color w:val="FF0000"/>
                      <w:spacing w:val="-75"/>
                      <w:kern w:val="0"/>
                      <w:sz w:val="60"/>
                      <w:szCs w:val="60"/>
                      <w:bdr w:val="none" w:color="auto" w:sz="0" w:space="0"/>
                      <w:lang w:val="en-US" w:eastAsia="zh-CN" w:bidi="ar"/>
                    </w:rPr>
                    <w:t>保</w:t>
                  </w:r>
                  <w:r>
                    <w:rPr>
                      <w:rFonts w:hint="eastAsia" w:ascii="宋体" w:hAnsi="宋体" w:eastAsia="宋体" w:cs="宋体"/>
                      <w:b/>
                      <w:color w:val="FF0000"/>
                      <w:spacing w:val="-75"/>
                      <w:kern w:val="0"/>
                      <w:sz w:val="60"/>
                      <w:szCs w:val="60"/>
                      <w:bdr w:val="none" w:color="auto" w:sz="0" w:space="0"/>
                      <w:lang w:val="en-US" w:eastAsia="zh-CN" w:bidi="ar"/>
                    </w:rPr>
                    <w:t xml:space="preserve"> </w:t>
                  </w:r>
                  <w:r>
                    <w:rPr>
                      <w:rFonts w:ascii="宋体" w:hAnsi="宋体" w:eastAsia="宋体" w:cs="宋体"/>
                      <w:b/>
                      <w:color w:val="FF0000"/>
                      <w:spacing w:val="-75"/>
                      <w:kern w:val="0"/>
                      <w:sz w:val="60"/>
                      <w:szCs w:val="60"/>
                      <w:bdr w:val="none" w:color="auto" w:sz="0" w:space="0"/>
                      <w:lang w:val="en-US" w:eastAsia="zh-CN" w:bidi="ar"/>
                    </w:rPr>
                    <w:t>障</w:t>
                  </w:r>
                  <w:r>
                    <w:rPr>
                      <w:rFonts w:hint="eastAsia" w:ascii="宋体" w:hAnsi="宋体" w:eastAsia="宋体" w:cs="宋体"/>
                      <w:b/>
                      <w:color w:val="FF0000"/>
                      <w:spacing w:val="-75"/>
                      <w:kern w:val="0"/>
                      <w:sz w:val="60"/>
                      <w:szCs w:val="60"/>
                      <w:bdr w:val="none" w:color="auto" w:sz="0" w:space="0"/>
                      <w:lang w:val="en-US" w:eastAsia="zh-CN" w:bidi="ar"/>
                    </w:rPr>
                    <w:t xml:space="preserve"> </w:t>
                  </w:r>
                  <w:r>
                    <w:rPr>
                      <w:rFonts w:ascii="宋体" w:hAnsi="宋体" w:eastAsia="宋体" w:cs="宋体"/>
                      <w:b/>
                      <w:color w:val="FF0000"/>
                      <w:spacing w:val="-75"/>
                      <w:kern w:val="0"/>
                      <w:sz w:val="60"/>
                      <w:szCs w:val="60"/>
                      <w:bdr w:val="none" w:color="auto" w:sz="0" w:space="0"/>
                      <w:lang w:val="en-US" w:eastAsia="zh-CN" w:bidi="ar"/>
                    </w:rPr>
                    <w:t>部</w:t>
                  </w:r>
                </w:p>
                <w:p>
                  <w:pPr>
                    <w:keepNext w:val="0"/>
                    <w:keepLines w:val="0"/>
                    <w:pageBreakBefore w:val="0"/>
                    <w:widowControl/>
                    <w:suppressLineNumbers w:val="0"/>
                    <w:pBdr>
                      <w:left w:val="none" w:color="auto" w:sz="0" w:space="0"/>
                      <w:bottom w:val="none" w:color="auto" w:sz="0" w:space="0"/>
                      <w:right w:val="none" w:color="auto" w:sz="0" w:space="0"/>
                    </w:pBdr>
                    <w:kinsoku/>
                    <w:wordWrap/>
                    <w:overflowPunct/>
                    <w:topLinePunct w:val="0"/>
                    <w:autoSpaceDE/>
                    <w:autoSpaceDN/>
                    <w:bidi w:val="0"/>
                    <w:adjustRightInd w:val="0"/>
                    <w:snapToGrid w:val="0"/>
                    <w:spacing w:line="18" w:lineRule="atLeast"/>
                    <w:ind w:left="0" w:leftChars="0" w:right="0" w:rightChars="0" w:firstLine="0" w:firstLineChars="0"/>
                    <w:jc w:val="center"/>
                    <w:textAlignment w:val="auto"/>
                    <w:outlineLvl w:val="9"/>
                    <w:rPr>
                      <w:rFonts w:ascii="宋体" w:hAnsi="宋体" w:eastAsia="宋体" w:cs="宋体"/>
                      <w:b/>
                      <w:color w:val="FF0000"/>
                      <w:spacing w:val="-75"/>
                      <w:kern w:val="0"/>
                      <w:sz w:val="60"/>
                      <w:szCs w:val="60"/>
                      <w:bdr w:val="none" w:color="auto" w:sz="0" w:space="0"/>
                      <w:lang w:val="en-US" w:eastAsia="zh-CN" w:bidi="ar"/>
                    </w:rPr>
                  </w:pPr>
                  <w:r>
                    <w:rPr>
                      <w:rFonts w:ascii="宋体" w:hAnsi="宋体" w:eastAsia="宋体" w:cs="宋体"/>
                      <w:b/>
                      <w:color w:val="FF0000"/>
                      <w:spacing w:val="-75"/>
                      <w:kern w:val="0"/>
                      <w:sz w:val="60"/>
                      <w:szCs w:val="60"/>
                      <w:bdr w:val="none" w:color="auto" w:sz="0" w:space="0"/>
                      <w:lang w:val="en-US" w:eastAsia="zh-CN" w:bidi="ar"/>
                    </w:rPr>
                    <w:t>国</w:t>
                  </w:r>
                  <w:r>
                    <w:rPr>
                      <w:rFonts w:hint="eastAsia" w:ascii="宋体" w:hAnsi="宋体" w:eastAsia="宋体" w:cs="宋体"/>
                      <w:b/>
                      <w:color w:val="FF0000"/>
                      <w:spacing w:val="-75"/>
                      <w:kern w:val="0"/>
                      <w:sz w:val="60"/>
                      <w:szCs w:val="60"/>
                      <w:bdr w:val="none" w:color="auto" w:sz="0" w:space="0"/>
                      <w:lang w:val="en-US" w:eastAsia="zh-CN" w:bidi="ar"/>
                    </w:rPr>
                    <w:t xml:space="preserve"> </w:t>
                  </w:r>
                  <w:r>
                    <w:rPr>
                      <w:rFonts w:ascii="宋体" w:hAnsi="宋体" w:eastAsia="宋体" w:cs="宋体"/>
                      <w:b/>
                      <w:color w:val="FF0000"/>
                      <w:spacing w:val="-75"/>
                      <w:kern w:val="0"/>
                      <w:sz w:val="60"/>
                      <w:szCs w:val="60"/>
                      <w:bdr w:val="none" w:color="auto" w:sz="0" w:space="0"/>
                      <w:lang w:val="en-US" w:eastAsia="zh-CN" w:bidi="ar"/>
                    </w:rPr>
                    <w:t>家</w:t>
                  </w:r>
                  <w:r>
                    <w:rPr>
                      <w:rFonts w:hint="eastAsia" w:ascii="宋体" w:hAnsi="宋体" w:eastAsia="宋体" w:cs="宋体"/>
                      <w:b/>
                      <w:color w:val="FF0000"/>
                      <w:spacing w:val="-75"/>
                      <w:kern w:val="0"/>
                      <w:sz w:val="60"/>
                      <w:szCs w:val="60"/>
                      <w:bdr w:val="none" w:color="auto" w:sz="0" w:space="0"/>
                      <w:lang w:val="en-US" w:eastAsia="zh-CN" w:bidi="ar"/>
                    </w:rPr>
                    <w:t xml:space="preserve"> </w:t>
                  </w:r>
                  <w:r>
                    <w:rPr>
                      <w:rFonts w:ascii="宋体" w:hAnsi="宋体" w:eastAsia="宋体" w:cs="宋体"/>
                      <w:b/>
                      <w:color w:val="FF0000"/>
                      <w:spacing w:val="-75"/>
                      <w:kern w:val="0"/>
                      <w:sz w:val="60"/>
                      <w:szCs w:val="60"/>
                      <w:bdr w:val="none" w:color="auto" w:sz="0" w:space="0"/>
                      <w:lang w:val="en-US" w:eastAsia="zh-CN" w:bidi="ar"/>
                    </w:rPr>
                    <w:t>中</w:t>
                  </w:r>
                  <w:r>
                    <w:rPr>
                      <w:rFonts w:hint="eastAsia" w:ascii="宋体" w:hAnsi="宋体" w:eastAsia="宋体" w:cs="宋体"/>
                      <w:b/>
                      <w:color w:val="FF0000"/>
                      <w:spacing w:val="-75"/>
                      <w:kern w:val="0"/>
                      <w:sz w:val="60"/>
                      <w:szCs w:val="60"/>
                      <w:bdr w:val="none" w:color="auto" w:sz="0" w:space="0"/>
                      <w:lang w:val="en-US" w:eastAsia="zh-CN" w:bidi="ar"/>
                    </w:rPr>
                    <w:t xml:space="preserve"> </w:t>
                  </w:r>
                  <w:r>
                    <w:rPr>
                      <w:rFonts w:ascii="宋体" w:hAnsi="宋体" w:eastAsia="宋体" w:cs="宋体"/>
                      <w:b/>
                      <w:color w:val="FF0000"/>
                      <w:spacing w:val="-75"/>
                      <w:kern w:val="0"/>
                      <w:sz w:val="60"/>
                      <w:szCs w:val="60"/>
                      <w:bdr w:val="none" w:color="auto" w:sz="0" w:space="0"/>
                      <w:lang w:val="en-US" w:eastAsia="zh-CN" w:bidi="ar"/>
                    </w:rPr>
                    <w:t>医</w:t>
                  </w:r>
                  <w:r>
                    <w:rPr>
                      <w:rFonts w:hint="eastAsia" w:ascii="宋体" w:hAnsi="宋体" w:eastAsia="宋体" w:cs="宋体"/>
                      <w:b/>
                      <w:color w:val="FF0000"/>
                      <w:spacing w:val="-75"/>
                      <w:kern w:val="0"/>
                      <w:sz w:val="60"/>
                      <w:szCs w:val="60"/>
                      <w:bdr w:val="none" w:color="auto" w:sz="0" w:space="0"/>
                      <w:lang w:val="en-US" w:eastAsia="zh-CN" w:bidi="ar"/>
                    </w:rPr>
                    <w:t xml:space="preserve"> </w:t>
                  </w:r>
                  <w:r>
                    <w:rPr>
                      <w:rFonts w:ascii="宋体" w:hAnsi="宋体" w:eastAsia="宋体" w:cs="宋体"/>
                      <w:b/>
                      <w:color w:val="FF0000"/>
                      <w:spacing w:val="-75"/>
                      <w:kern w:val="0"/>
                      <w:sz w:val="60"/>
                      <w:szCs w:val="60"/>
                      <w:bdr w:val="none" w:color="auto" w:sz="0" w:space="0"/>
                      <w:lang w:val="en-US" w:eastAsia="zh-CN" w:bidi="ar"/>
                    </w:rPr>
                    <w:t>药</w:t>
                  </w:r>
                  <w:r>
                    <w:rPr>
                      <w:rFonts w:hint="eastAsia" w:ascii="宋体" w:hAnsi="宋体" w:eastAsia="宋体" w:cs="宋体"/>
                      <w:b/>
                      <w:color w:val="FF0000"/>
                      <w:spacing w:val="-75"/>
                      <w:kern w:val="0"/>
                      <w:sz w:val="60"/>
                      <w:szCs w:val="60"/>
                      <w:bdr w:val="none" w:color="auto" w:sz="0" w:space="0"/>
                      <w:lang w:val="en-US" w:eastAsia="zh-CN" w:bidi="ar"/>
                    </w:rPr>
                    <w:t xml:space="preserve"> </w:t>
                  </w:r>
                  <w:r>
                    <w:rPr>
                      <w:rFonts w:ascii="宋体" w:hAnsi="宋体" w:eastAsia="宋体" w:cs="宋体"/>
                      <w:b/>
                      <w:color w:val="FF0000"/>
                      <w:spacing w:val="-75"/>
                      <w:kern w:val="0"/>
                      <w:sz w:val="60"/>
                      <w:szCs w:val="60"/>
                      <w:bdr w:val="none" w:color="auto" w:sz="0" w:space="0"/>
                      <w:lang w:val="en-US" w:eastAsia="zh-CN" w:bidi="ar"/>
                    </w:rPr>
                    <w:t>管</w:t>
                  </w:r>
                  <w:r>
                    <w:rPr>
                      <w:rFonts w:hint="eastAsia" w:ascii="宋体" w:hAnsi="宋体" w:eastAsia="宋体" w:cs="宋体"/>
                      <w:b/>
                      <w:color w:val="FF0000"/>
                      <w:spacing w:val="-75"/>
                      <w:kern w:val="0"/>
                      <w:sz w:val="60"/>
                      <w:szCs w:val="60"/>
                      <w:bdr w:val="none" w:color="auto" w:sz="0" w:space="0"/>
                      <w:lang w:val="en-US" w:eastAsia="zh-CN" w:bidi="ar"/>
                    </w:rPr>
                    <w:t xml:space="preserve"> </w:t>
                  </w:r>
                  <w:r>
                    <w:rPr>
                      <w:rFonts w:ascii="宋体" w:hAnsi="宋体" w:eastAsia="宋体" w:cs="宋体"/>
                      <w:b/>
                      <w:color w:val="FF0000"/>
                      <w:spacing w:val="-75"/>
                      <w:kern w:val="0"/>
                      <w:sz w:val="60"/>
                      <w:szCs w:val="60"/>
                      <w:bdr w:val="none" w:color="auto" w:sz="0" w:space="0"/>
                      <w:lang w:val="en-US" w:eastAsia="zh-CN" w:bidi="ar"/>
                    </w:rPr>
                    <w:t>理</w:t>
                  </w:r>
                  <w:r>
                    <w:rPr>
                      <w:rFonts w:hint="eastAsia" w:ascii="宋体" w:hAnsi="宋体" w:eastAsia="宋体" w:cs="宋体"/>
                      <w:b/>
                      <w:color w:val="FF0000"/>
                      <w:spacing w:val="-75"/>
                      <w:kern w:val="0"/>
                      <w:sz w:val="60"/>
                      <w:szCs w:val="60"/>
                      <w:bdr w:val="none" w:color="auto" w:sz="0" w:space="0"/>
                      <w:lang w:val="en-US" w:eastAsia="zh-CN" w:bidi="ar"/>
                    </w:rPr>
                    <w:t xml:space="preserve"> </w:t>
                  </w:r>
                  <w:r>
                    <w:rPr>
                      <w:rFonts w:ascii="宋体" w:hAnsi="宋体" w:eastAsia="宋体" w:cs="宋体"/>
                      <w:b/>
                      <w:color w:val="FF0000"/>
                      <w:spacing w:val="-75"/>
                      <w:kern w:val="0"/>
                      <w:sz w:val="60"/>
                      <w:szCs w:val="60"/>
                      <w:bdr w:val="none" w:color="auto" w:sz="0" w:space="0"/>
                      <w:lang w:val="en-US" w:eastAsia="zh-CN" w:bidi="ar"/>
                    </w:rPr>
                    <w:t>局</w:t>
                  </w:r>
                </w:p>
                <w:p>
                  <w:pPr>
                    <w:keepNext w:val="0"/>
                    <w:keepLines w:val="0"/>
                    <w:pageBreakBefore w:val="0"/>
                    <w:widowControl/>
                    <w:suppressLineNumbers w:val="0"/>
                    <w:pBdr>
                      <w:left w:val="none" w:color="auto" w:sz="0" w:space="0"/>
                      <w:bottom w:val="none" w:color="auto" w:sz="0" w:space="0"/>
                      <w:right w:val="none" w:color="auto" w:sz="0" w:space="0"/>
                    </w:pBdr>
                    <w:kinsoku/>
                    <w:wordWrap/>
                    <w:overflowPunct/>
                    <w:topLinePunct w:val="0"/>
                    <w:autoSpaceDE/>
                    <w:autoSpaceDN/>
                    <w:bidi w:val="0"/>
                    <w:adjustRightInd w:val="0"/>
                    <w:snapToGrid w:val="0"/>
                    <w:spacing w:line="18" w:lineRule="atLeast"/>
                    <w:ind w:left="0" w:leftChars="0" w:right="0" w:rightChars="0" w:firstLine="0" w:firstLineChars="0"/>
                    <w:jc w:val="center"/>
                    <w:textAlignment w:val="auto"/>
                    <w:outlineLvl w:val="9"/>
                    <w:rPr>
                      <w:b/>
                      <w:color w:val="FF0000"/>
                      <w:spacing w:val="-75"/>
                      <w:sz w:val="70"/>
                      <w:szCs w:val="70"/>
                    </w:rPr>
                  </w:pPr>
                  <w:r>
                    <w:rPr>
                      <w:rFonts w:ascii="宋体" w:hAnsi="宋体" w:eastAsia="宋体" w:cs="宋体"/>
                      <w:b/>
                      <w:color w:val="FF0000"/>
                      <w:spacing w:val="-75"/>
                      <w:kern w:val="0"/>
                      <w:sz w:val="60"/>
                      <w:szCs w:val="60"/>
                      <w:bdr w:val="none" w:color="auto" w:sz="0" w:space="0"/>
                      <w:lang w:val="en-US" w:eastAsia="zh-CN" w:bidi="ar"/>
                    </w:rPr>
                    <w:t>国</w:t>
                  </w:r>
                  <w:r>
                    <w:rPr>
                      <w:rFonts w:hint="eastAsia" w:ascii="宋体" w:hAnsi="宋体" w:eastAsia="宋体" w:cs="宋体"/>
                      <w:b/>
                      <w:color w:val="FF0000"/>
                      <w:spacing w:val="-75"/>
                      <w:kern w:val="0"/>
                      <w:sz w:val="60"/>
                      <w:szCs w:val="60"/>
                      <w:bdr w:val="none" w:color="auto" w:sz="0" w:space="0"/>
                      <w:lang w:val="en-US" w:eastAsia="zh-CN" w:bidi="ar"/>
                    </w:rPr>
                    <w:t xml:space="preserve"> </w:t>
                  </w:r>
                  <w:r>
                    <w:rPr>
                      <w:rFonts w:ascii="宋体" w:hAnsi="宋体" w:eastAsia="宋体" w:cs="宋体"/>
                      <w:b/>
                      <w:color w:val="FF0000"/>
                      <w:spacing w:val="-75"/>
                      <w:kern w:val="0"/>
                      <w:sz w:val="60"/>
                      <w:szCs w:val="60"/>
                      <w:bdr w:val="none" w:color="auto" w:sz="0" w:space="0"/>
                      <w:lang w:val="en-US" w:eastAsia="zh-CN" w:bidi="ar"/>
                    </w:rPr>
                    <w:t>务</w:t>
                  </w:r>
                  <w:r>
                    <w:rPr>
                      <w:rFonts w:hint="eastAsia" w:ascii="宋体" w:hAnsi="宋体" w:eastAsia="宋体" w:cs="宋体"/>
                      <w:b/>
                      <w:color w:val="FF0000"/>
                      <w:spacing w:val="-75"/>
                      <w:kern w:val="0"/>
                      <w:sz w:val="60"/>
                      <w:szCs w:val="60"/>
                      <w:bdr w:val="none" w:color="auto" w:sz="0" w:space="0"/>
                      <w:lang w:val="en-US" w:eastAsia="zh-CN" w:bidi="ar"/>
                    </w:rPr>
                    <w:t xml:space="preserve"> </w:t>
                  </w:r>
                  <w:r>
                    <w:rPr>
                      <w:rFonts w:ascii="宋体" w:hAnsi="宋体" w:eastAsia="宋体" w:cs="宋体"/>
                      <w:b/>
                      <w:color w:val="FF0000"/>
                      <w:spacing w:val="-75"/>
                      <w:kern w:val="0"/>
                      <w:sz w:val="60"/>
                      <w:szCs w:val="60"/>
                      <w:bdr w:val="none" w:color="auto" w:sz="0" w:space="0"/>
                      <w:lang w:val="en-US" w:eastAsia="zh-CN" w:bidi="ar"/>
                    </w:rPr>
                    <w:t>院</w:t>
                  </w:r>
                  <w:r>
                    <w:rPr>
                      <w:rFonts w:hint="eastAsia" w:ascii="宋体" w:hAnsi="宋体" w:eastAsia="宋体" w:cs="宋体"/>
                      <w:b/>
                      <w:color w:val="FF0000"/>
                      <w:spacing w:val="-75"/>
                      <w:kern w:val="0"/>
                      <w:sz w:val="60"/>
                      <w:szCs w:val="60"/>
                      <w:bdr w:val="none" w:color="auto" w:sz="0" w:space="0"/>
                      <w:lang w:val="en-US" w:eastAsia="zh-CN" w:bidi="ar"/>
                    </w:rPr>
                    <w:t xml:space="preserve">  </w:t>
                  </w:r>
                  <w:r>
                    <w:rPr>
                      <w:rFonts w:ascii="宋体" w:hAnsi="宋体" w:eastAsia="宋体" w:cs="宋体"/>
                      <w:b/>
                      <w:color w:val="FF0000"/>
                      <w:spacing w:val="-75"/>
                      <w:kern w:val="0"/>
                      <w:sz w:val="60"/>
                      <w:szCs w:val="60"/>
                      <w:bdr w:val="none" w:color="auto" w:sz="0" w:space="0"/>
                      <w:lang w:val="en-US" w:eastAsia="zh-CN" w:bidi="ar"/>
                    </w:rPr>
                    <w:t>医</w:t>
                  </w:r>
                  <w:r>
                    <w:rPr>
                      <w:rFonts w:hint="eastAsia" w:ascii="宋体" w:hAnsi="宋体" w:eastAsia="宋体" w:cs="宋体"/>
                      <w:b/>
                      <w:color w:val="FF0000"/>
                      <w:spacing w:val="-75"/>
                      <w:kern w:val="0"/>
                      <w:sz w:val="60"/>
                      <w:szCs w:val="60"/>
                      <w:bdr w:val="none" w:color="auto" w:sz="0" w:space="0"/>
                      <w:lang w:val="en-US" w:eastAsia="zh-CN" w:bidi="ar"/>
                    </w:rPr>
                    <w:t xml:space="preserve"> </w:t>
                  </w:r>
                  <w:r>
                    <w:rPr>
                      <w:rFonts w:ascii="宋体" w:hAnsi="宋体" w:eastAsia="宋体" w:cs="宋体"/>
                      <w:b/>
                      <w:color w:val="FF0000"/>
                      <w:spacing w:val="-75"/>
                      <w:kern w:val="0"/>
                      <w:sz w:val="60"/>
                      <w:szCs w:val="60"/>
                      <w:bdr w:val="none" w:color="auto" w:sz="0" w:space="0"/>
                      <w:lang w:val="en-US" w:eastAsia="zh-CN" w:bidi="ar"/>
                    </w:rPr>
                    <w:t>改</w:t>
                  </w:r>
                  <w:r>
                    <w:rPr>
                      <w:rFonts w:hint="eastAsia" w:ascii="宋体" w:hAnsi="宋体" w:eastAsia="宋体" w:cs="宋体"/>
                      <w:b/>
                      <w:color w:val="FF0000"/>
                      <w:spacing w:val="-75"/>
                      <w:kern w:val="0"/>
                      <w:sz w:val="60"/>
                      <w:szCs w:val="60"/>
                      <w:bdr w:val="none" w:color="auto" w:sz="0" w:space="0"/>
                      <w:lang w:val="en-US" w:eastAsia="zh-CN" w:bidi="ar"/>
                    </w:rPr>
                    <w:t xml:space="preserve"> </w:t>
                  </w:r>
                  <w:r>
                    <w:rPr>
                      <w:rFonts w:ascii="宋体" w:hAnsi="宋体" w:eastAsia="宋体" w:cs="宋体"/>
                      <w:b/>
                      <w:color w:val="FF0000"/>
                      <w:spacing w:val="-75"/>
                      <w:kern w:val="0"/>
                      <w:sz w:val="60"/>
                      <w:szCs w:val="60"/>
                      <w:bdr w:val="none" w:color="auto" w:sz="0" w:space="0"/>
                      <w:lang w:val="en-US" w:eastAsia="zh-CN" w:bidi="ar"/>
                    </w:rPr>
                    <w:t>办</w:t>
                  </w:r>
                  <w:r>
                    <w:rPr>
                      <w:rFonts w:ascii="宋体" w:hAnsi="宋体" w:eastAsia="宋体" w:cs="宋体"/>
                      <w:b/>
                      <w:color w:val="FF0000"/>
                      <w:spacing w:val="-75"/>
                      <w:kern w:val="0"/>
                      <w:sz w:val="60"/>
                      <w:szCs w:val="60"/>
                      <w:bdr w:val="none" w:color="auto" w:sz="0" w:space="0"/>
                      <w:lang w:val="en-US" w:eastAsia="zh-CN" w:bidi="ar"/>
                    </w:rPr>
                    <w:t xml:space="preserve"> </w:t>
                  </w:r>
                </w:p>
              </w:tc>
              <w:tc>
                <w:tcPr>
                  <w:tcW w:w="1480" w:type="dxa"/>
                  <w:shd w:val="clear"/>
                  <w:tcMar>
                    <w:top w:w="75" w:type="dxa"/>
                    <w:left w:w="0" w:type="dxa"/>
                    <w:bottom w:w="75" w:type="dxa"/>
                    <w:right w:w="0" w:type="dxa"/>
                  </w:tcMar>
                  <w:vAlign w:val="center"/>
                </w:tcPr>
                <w:p>
                  <w:pPr>
                    <w:pStyle w:val="2"/>
                    <w:keepNext w:val="0"/>
                    <w:keepLines w:val="0"/>
                    <w:widowControl/>
                    <w:suppressLineNumbers w:val="0"/>
                    <w:spacing w:line="432" w:lineRule="auto"/>
                    <w:jc w:val="left"/>
                  </w:pPr>
                  <w:r>
                    <w:rPr>
                      <w:bdr w:val="none" w:color="auto" w:sz="0" w:space="0"/>
                    </w:rPr>
                    <w:t>文件</w:t>
                  </w:r>
                </w:p>
              </w:tc>
            </w:tr>
          </w:tbl>
          <w:p>
            <w:pPr>
              <w:jc w:val="left"/>
              <w:rPr>
                <w:rFonts w:hint="default" w:ascii="SimSun ! important" w:hAnsi="SimSun ! important" w:eastAsia="SimSun ! important" w:cs="SimSun ! important"/>
                <w:sz w:val="24"/>
                <w:szCs w:val="24"/>
              </w:rPr>
            </w:pPr>
          </w:p>
        </w:tc>
      </w:tr>
      <w:tr>
        <w:tblPrEx>
          <w:tblLayout w:type="fixed"/>
          <w:tblCellMar>
            <w:top w:w="0" w:type="dxa"/>
            <w:left w:w="0" w:type="dxa"/>
            <w:bottom w:w="0" w:type="dxa"/>
            <w:right w:w="0" w:type="dxa"/>
          </w:tblCellMar>
        </w:tblPrEx>
        <w:trPr>
          <w:tblCellSpacing w:w="0" w:type="dxa"/>
          <w:jc w:val="center"/>
        </w:trPr>
        <w:tc>
          <w:tcPr>
            <w:tcW w:w="8830" w:type="dxa"/>
            <w:tcBorders>
              <w:bottom w:val="single" w:color="FF0000" w:sz="18" w:space="0"/>
            </w:tcBorders>
            <w:shd w:val="clear"/>
            <w:tcMar>
              <w:top w:w="150" w:type="dxa"/>
              <w:left w:w="150" w:type="dxa"/>
              <w:bottom w:w="150" w:type="dxa"/>
              <w:right w:w="150" w:type="dxa"/>
            </w:tcMar>
            <w:vAlign w:val="center"/>
          </w:tcPr>
          <w:p>
            <w:pPr>
              <w:keepNext w:val="0"/>
              <w:keepLines w:val="0"/>
              <w:widowControl/>
              <w:suppressLineNumbers w:val="0"/>
              <w:spacing w:line="432" w:lineRule="auto"/>
              <w:ind w:left="0" w:firstLine="420"/>
              <w:jc w:val="center"/>
              <w:rPr>
                <w:rFonts w:hint="default" w:ascii="SimSun ! important" w:hAnsi="SimSun ! important" w:eastAsia="SimSun ! important" w:cs="SimSun ! important"/>
                <w:sz w:val="24"/>
                <w:szCs w:val="24"/>
              </w:rPr>
            </w:pPr>
            <w:r>
              <w:rPr>
                <w:rFonts w:hint="default" w:ascii="SimSun ! important" w:hAnsi="SimSun ! important" w:eastAsia="SimSun ! important" w:cs="SimSun ! important"/>
                <w:kern w:val="0"/>
                <w:sz w:val="24"/>
                <w:szCs w:val="24"/>
                <w:bdr w:val="none" w:color="auto" w:sz="0" w:space="0"/>
                <w:lang w:val="en-US" w:eastAsia="zh-CN" w:bidi="ar"/>
              </w:rPr>
              <w:t xml:space="preserve">国卫体改发〔2018〕4号 </w:t>
            </w:r>
          </w:p>
        </w:tc>
      </w:tr>
      <w:tr>
        <w:tblPrEx>
          <w:tblLayout w:type="fixed"/>
          <w:tblCellMar>
            <w:top w:w="0" w:type="dxa"/>
            <w:left w:w="0" w:type="dxa"/>
            <w:bottom w:w="0" w:type="dxa"/>
            <w:right w:w="0" w:type="dxa"/>
          </w:tblCellMar>
        </w:tblPrEx>
        <w:trPr>
          <w:tblCellSpacing w:w="0" w:type="dxa"/>
          <w:jc w:val="center"/>
        </w:trPr>
        <w:tc>
          <w:tcPr>
            <w:tcW w:w="8830" w:type="dxa"/>
            <w:shd w:val="clear"/>
            <w:tcMar>
              <w:top w:w="75" w:type="dxa"/>
              <w:bottom w:w="75" w:type="dxa"/>
            </w:tcMar>
            <w:vAlign w:val="center"/>
          </w:tcPr>
          <w:p>
            <w:pPr>
              <w:pStyle w:val="3"/>
              <w:keepNext w:val="0"/>
              <w:keepLines w:val="0"/>
              <w:widowControl/>
              <w:suppressLineNumbers w:val="0"/>
              <w:spacing w:line="432" w:lineRule="auto"/>
              <w:jc w:val="center"/>
            </w:pPr>
            <w:r>
              <w:t>关于巩固破除以药补医成果持续深化公立医院综合改革的通知</w:t>
            </w:r>
          </w:p>
        </w:tc>
      </w:tr>
      <w:tr>
        <w:tblPrEx>
          <w:tblLayout w:type="fixed"/>
          <w:tblCellMar>
            <w:top w:w="0" w:type="dxa"/>
            <w:left w:w="0" w:type="dxa"/>
            <w:bottom w:w="0" w:type="dxa"/>
            <w:right w:w="0" w:type="dxa"/>
          </w:tblCellMar>
        </w:tblPrEx>
        <w:trPr>
          <w:tblCellSpacing w:w="0" w:type="dxa"/>
          <w:jc w:val="center"/>
        </w:trPr>
        <w:tc>
          <w:tcPr>
            <w:tcW w:w="8830" w:type="dxa"/>
            <w:shd w:val="clear"/>
            <w:tcMar>
              <w:top w:w="75" w:type="dxa"/>
              <w:bottom w:w="75" w:type="dxa"/>
            </w:tcMar>
            <w:vAlign w:val="center"/>
          </w:tcPr>
          <w:p>
            <w:pPr>
              <w:keepNext w:val="0"/>
              <w:keepLines w:val="0"/>
              <w:widowControl/>
              <w:suppressLineNumbers w:val="0"/>
              <w:spacing w:line="432" w:lineRule="auto"/>
              <w:ind w:left="0" w:firstLine="0"/>
              <w:jc w:val="left"/>
              <w:rPr>
                <w:rFonts w:hint="default" w:ascii="SimSun ! important" w:hAnsi="SimSun ! important" w:eastAsia="SimSun ! important" w:cs="SimSun ! important"/>
                <w:sz w:val="24"/>
                <w:szCs w:val="24"/>
              </w:rPr>
            </w:pPr>
            <w:r>
              <w:rPr>
                <w:rFonts w:hint="default" w:ascii="SimSun ! important" w:hAnsi="SimSun ! important" w:eastAsia="SimSun ! important" w:cs="SimSun ! important"/>
                <w:kern w:val="0"/>
                <w:sz w:val="24"/>
                <w:szCs w:val="24"/>
                <w:bdr w:val="none" w:color="auto" w:sz="0" w:space="0"/>
                <w:lang w:val="en-US" w:eastAsia="zh-CN" w:bidi="ar"/>
              </w:rPr>
              <w:t xml:space="preserve">各省、自治区、直辖市及新疆生产建设兵团卫生计生委、财政厅（局）、发展改革委、人力资源社会保障厅（局）、中医药管理局、医改办: </w:t>
            </w:r>
          </w:p>
        </w:tc>
      </w:tr>
      <w:tr>
        <w:tblPrEx>
          <w:tblLayout w:type="fixed"/>
          <w:tblCellMar>
            <w:top w:w="0" w:type="dxa"/>
            <w:left w:w="0" w:type="dxa"/>
            <w:bottom w:w="0" w:type="dxa"/>
            <w:right w:w="0" w:type="dxa"/>
          </w:tblCellMar>
        </w:tblPrEx>
        <w:trPr>
          <w:tblCellSpacing w:w="0" w:type="dxa"/>
          <w:jc w:val="center"/>
        </w:trPr>
        <w:tc>
          <w:tcPr>
            <w:tcW w:w="8830" w:type="dxa"/>
            <w:shd w:val="clear"/>
            <w:tcMar>
              <w:top w:w="75" w:type="dxa"/>
              <w:bottom w:w="75" w:type="dxa"/>
            </w:tcMar>
            <w:vAlign w:val="center"/>
          </w:tcPr>
          <w:p>
            <w:pPr>
              <w:pStyle w:val="4"/>
              <w:keepNext w:val="0"/>
              <w:keepLines w:val="0"/>
              <w:pageBreakBefore w:val="0"/>
              <w:widowControl/>
              <w:suppressLineNumbers w:val="0"/>
              <w:kinsoku/>
              <w:wordWrap/>
              <w:overflowPunct/>
              <w:topLinePunct w:val="0"/>
              <w:autoSpaceDE/>
              <w:autoSpaceDN/>
              <w:bidi w:val="0"/>
              <w:adjustRightInd w:val="0"/>
              <w:snapToGrid w:val="0"/>
              <w:spacing w:before="0" w:after="0" w:line="440" w:lineRule="exact"/>
              <w:ind w:left="0" w:leftChars="0" w:right="0" w:rightChars="0" w:firstLine="420" w:firstLineChars="0"/>
              <w:jc w:val="left"/>
              <w:textAlignment w:val="auto"/>
              <w:outlineLvl w:val="9"/>
              <w:rPr>
                <w:rFonts w:hint="eastAsia" w:ascii="仿宋" w:hAnsi="仿宋" w:eastAsia="仿宋" w:cs="仿宋"/>
                <w:color w:val="484848"/>
                <w:sz w:val="28"/>
                <w:szCs w:val="28"/>
              </w:rPr>
            </w:pPr>
            <w:r>
              <w:rPr>
                <w:rFonts w:hint="eastAsia" w:ascii="仿宋" w:hAnsi="仿宋" w:eastAsia="仿宋" w:cs="仿宋"/>
                <w:color w:val="484848"/>
                <w:sz w:val="28"/>
                <w:szCs w:val="28"/>
                <w:bdr w:val="none" w:color="auto" w:sz="0" w:space="0"/>
              </w:rPr>
              <w:t> 　　公立医院综合改革是保障和改善民生的重要举措，是深化医药卫生体制改革的重中之重。目前，公立医院已全面推开综合改革，全部取消药品加成，逐步建立维护公益性、调动积极性、保障可持续的运行新机制，取得了重大阶段性成效。但公立医院综合改革是一项复杂的系统工程，涉及深刻的利益调整，仍面临一些困难和挑战，特别是公立医院运行新机制需要巩固完善，“三医”联动改革有待加强，重点领域和关键环节改革亟需深化，医务人员积极性有待进一步调动。为全面贯彻落实党的十九大精神，坚持以人民健康为中心、以问题为导向，全面取消以药补医，健全现代医院管理制度，现就巩固改革成果、持续深化改革有关工作通知如下： </w:t>
            </w:r>
            <w:r>
              <w:rPr>
                <w:rFonts w:hint="eastAsia" w:ascii="仿宋" w:hAnsi="仿宋" w:eastAsia="仿宋" w:cs="仿宋"/>
                <w:color w:val="484848"/>
                <w:sz w:val="28"/>
                <w:szCs w:val="28"/>
                <w:bdr w:val="none" w:color="auto" w:sz="0" w:space="0"/>
              </w:rPr>
              <w:br w:type="textWrapping"/>
            </w:r>
            <w:r>
              <w:rPr>
                <w:rFonts w:hint="eastAsia" w:ascii="仿宋" w:hAnsi="仿宋" w:eastAsia="仿宋" w:cs="仿宋"/>
                <w:color w:val="484848"/>
                <w:sz w:val="28"/>
                <w:szCs w:val="28"/>
                <w:bdr w:val="none" w:color="auto" w:sz="0" w:space="0"/>
              </w:rPr>
              <w:t>　　一、巩固完善公立医院补偿新机制 </w:t>
            </w:r>
            <w:r>
              <w:rPr>
                <w:rFonts w:hint="eastAsia" w:ascii="仿宋" w:hAnsi="仿宋" w:eastAsia="仿宋" w:cs="仿宋"/>
                <w:color w:val="484848"/>
                <w:sz w:val="28"/>
                <w:szCs w:val="28"/>
                <w:bdr w:val="none" w:color="auto" w:sz="0" w:space="0"/>
              </w:rPr>
              <w:br w:type="textWrapping"/>
            </w:r>
            <w:r>
              <w:rPr>
                <w:rFonts w:hint="eastAsia" w:ascii="仿宋" w:hAnsi="仿宋" w:eastAsia="仿宋" w:cs="仿宋"/>
                <w:color w:val="484848"/>
                <w:sz w:val="28"/>
                <w:szCs w:val="28"/>
                <w:bdr w:val="none" w:color="auto" w:sz="0" w:space="0"/>
              </w:rPr>
              <w:t>　　各地要对全部取消药品加成进行阶段性总结评估，对公立医院运行情况进行全面深入分析，检验改革成效是否符合预期，将改革效果“验明白”。对公立医院取消药品加成减少的合理收入，要严格按照当地公立医院综合改革实施方案确定的补偿途径和比例执行，实现新旧机制平稳转换，确保公立医院良性运行。对照方案确定的各项改革政策，落实不到位的地区要查找原因、精准施策、限期整改。2018年4月底前，各地要将总结评估报告和整改措施报国务院医改办。2018年8月底前，整改措施要落实到位。 </w:t>
            </w:r>
            <w:r>
              <w:rPr>
                <w:rFonts w:hint="eastAsia" w:ascii="仿宋" w:hAnsi="仿宋" w:eastAsia="仿宋" w:cs="仿宋"/>
                <w:color w:val="484848"/>
                <w:sz w:val="28"/>
                <w:szCs w:val="28"/>
                <w:bdr w:val="none" w:color="auto" w:sz="0" w:space="0"/>
              </w:rPr>
              <w:br w:type="textWrapping"/>
            </w:r>
            <w:r>
              <w:rPr>
                <w:rFonts w:hint="eastAsia" w:ascii="仿宋" w:hAnsi="仿宋" w:eastAsia="仿宋" w:cs="仿宋"/>
                <w:color w:val="484848"/>
                <w:sz w:val="28"/>
                <w:szCs w:val="28"/>
                <w:bdr w:val="none" w:color="auto" w:sz="0" w:space="0"/>
              </w:rPr>
              <w:t>为巩固破除以药补医成果，中央财政在2018—2020年继续安排资金支持县级和城市公立医院综合改革。持续开展公立医院综合改革效果评价考核工作，根据考核结果分配公立医院综合改革专项补助资金，向人口大县和国家级贫困县倾斜，对真抓实干、改革成效明显的地方予以奖励补助，对改革进展滞后的地方扣减补助资金。各地在分配补助资金时，要将公立医院相关评价考核指标完成情况作为重要依据。地方各级财政要继续加大对公立医院综合改革的支持力度。 </w:t>
            </w:r>
            <w:r>
              <w:rPr>
                <w:rFonts w:hint="eastAsia" w:ascii="仿宋" w:hAnsi="仿宋" w:eastAsia="仿宋" w:cs="仿宋"/>
                <w:color w:val="484848"/>
                <w:sz w:val="28"/>
                <w:szCs w:val="28"/>
                <w:bdr w:val="none" w:color="auto" w:sz="0" w:space="0"/>
              </w:rPr>
              <w:br w:type="textWrapping"/>
            </w:r>
            <w:r>
              <w:rPr>
                <w:rFonts w:hint="eastAsia" w:ascii="仿宋" w:hAnsi="仿宋" w:eastAsia="仿宋" w:cs="仿宋"/>
                <w:color w:val="484848"/>
                <w:sz w:val="28"/>
                <w:szCs w:val="28"/>
                <w:bdr w:val="none" w:color="auto" w:sz="0" w:space="0"/>
              </w:rPr>
              <w:t>　　二、全面落实医疗服务体系规划 </w:t>
            </w:r>
            <w:r>
              <w:rPr>
                <w:rFonts w:hint="eastAsia" w:ascii="仿宋" w:hAnsi="仿宋" w:eastAsia="仿宋" w:cs="仿宋"/>
                <w:color w:val="484848"/>
                <w:sz w:val="28"/>
                <w:szCs w:val="28"/>
                <w:bdr w:val="none" w:color="auto" w:sz="0" w:space="0"/>
              </w:rPr>
              <w:br w:type="textWrapping"/>
            </w:r>
            <w:r>
              <w:rPr>
                <w:rFonts w:hint="eastAsia" w:ascii="仿宋" w:hAnsi="仿宋" w:eastAsia="仿宋" w:cs="仿宋"/>
                <w:color w:val="484848"/>
                <w:sz w:val="28"/>
                <w:szCs w:val="28"/>
                <w:bdr w:val="none" w:color="auto" w:sz="0" w:space="0"/>
              </w:rPr>
              <w:t>　　各地要严格按照医疗服务体系规划和资源配置标准，合理布局公立医院的数量和规模，增强规划的刚性约束，建立优质高效、上下贯通的整合型医疗服务体系，推动分级诊疗制度建设。各级各类公立医院要严格按照功能定位提供服务，将落实功能定位、体现公益性改革发展指标与财政补助、医保支付、薪酬水平和绩效工资总量以及院长薪酬、任免、奖惩等挂钩。公立医院的设置和改扩建、病床规模的扩大、大型医疗设备的购置等，无论何种资金渠道，必须按照区域卫生规划的要求和程序，严格审批，规范管理，强化问责。 </w:t>
            </w:r>
            <w:r>
              <w:rPr>
                <w:rFonts w:hint="eastAsia" w:ascii="仿宋" w:hAnsi="仿宋" w:eastAsia="仿宋" w:cs="仿宋"/>
                <w:color w:val="484848"/>
                <w:sz w:val="28"/>
                <w:szCs w:val="28"/>
                <w:bdr w:val="none" w:color="auto" w:sz="0" w:space="0"/>
              </w:rPr>
              <w:br w:type="textWrapping"/>
            </w:r>
            <w:r>
              <w:rPr>
                <w:rFonts w:hint="eastAsia" w:ascii="仿宋" w:hAnsi="仿宋" w:eastAsia="仿宋" w:cs="仿宋"/>
                <w:color w:val="484848"/>
                <w:sz w:val="28"/>
                <w:szCs w:val="28"/>
                <w:bdr w:val="none" w:color="auto" w:sz="0" w:space="0"/>
              </w:rPr>
              <w:t>　　三、健全现代医院管理制度 </w:t>
            </w:r>
            <w:r>
              <w:rPr>
                <w:rFonts w:hint="eastAsia" w:ascii="仿宋" w:hAnsi="仿宋" w:eastAsia="仿宋" w:cs="仿宋"/>
                <w:color w:val="484848"/>
                <w:sz w:val="28"/>
                <w:szCs w:val="28"/>
                <w:bdr w:val="none" w:color="auto" w:sz="0" w:space="0"/>
              </w:rPr>
              <w:br w:type="textWrapping"/>
            </w:r>
            <w:r>
              <w:rPr>
                <w:rFonts w:hint="eastAsia" w:ascii="仿宋" w:hAnsi="仿宋" w:eastAsia="仿宋" w:cs="仿宋"/>
                <w:color w:val="484848"/>
                <w:sz w:val="28"/>
                <w:szCs w:val="28"/>
                <w:bdr w:val="none" w:color="auto" w:sz="0" w:space="0"/>
              </w:rPr>
              <w:t>　　贯彻落实《国务院办公厅关于建立现代医院管理制度的指导意见》（国办发〔2017〕67号），2018年7月底前各省份制定具体实施方案。切实加强公立医院党的领导和党的建设，确保公立医院改革发展正确方向。以建立维护公益性、调动积极性、保障可持续的公立医院运行新机制和健全决策、执行、监督相互协调、相互制衡、相互促进的治理机制为目标，着力落实好政府对公立医院的举办、监管权责清单和公立医院经营管理自主权清单。2018年，国家卫生计生委和国家中医药管理局属管医院以及全国20%的二级以上公立医院、10%的社会办非营利性医院完成章程制定工作。建立以公益性为导向的公立医院考核评价机制，加强医疗服务质量和安全监管。严厉打击医药购销领域商业贿赂行为，坚决纠正医药购销和医疗服务中不正之风。 </w:t>
            </w:r>
            <w:r>
              <w:rPr>
                <w:rFonts w:hint="eastAsia" w:ascii="仿宋" w:hAnsi="仿宋" w:eastAsia="仿宋" w:cs="仿宋"/>
                <w:color w:val="484848"/>
                <w:sz w:val="28"/>
                <w:szCs w:val="28"/>
                <w:bdr w:val="none" w:color="auto" w:sz="0" w:space="0"/>
              </w:rPr>
              <w:br w:type="textWrapping"/>
            </w:r>
            <w:r>
              <w:rPr>
                <w:rFonts w:hint="eastAsia" w:ascii="仿宋" w:hAnsi="仿宋" w:eastAsia="仿宋" w:cs="仿宋"/>
                <w:color w:val="484848"/>
                <w:sz w:val="28"/>
                <w:szCs w:val="28"/>
                <w:bdr w:val="none" w:color="auto" w:sz="0" w:space="0"/>
              </w:rPr>
              <w:t>　　四、全面落实政府投入责任 </w:t>
            </w:r>
            <w:r>
              <w:rPr>
                <w:rFonts w:hint="eastAsia" w:ascii="仿宋" w:hAnsi="仿宋" w:eastAsia="仿宋" w:cs="仿宋"/>
                <w:color w:val="484848"/>
                <w:sz w:val="28"/>
                <w:szCs w:val="28"/>
                <w:bdr w:val="none" w:color="auto" w:sz="0" w:space="0"/>
              </w:rPr>
              <w:br w:type="textWrapping"/>
            </w:r>
            <w:r>
              <w:rPr>
                <w:rFonts w:hint="eastAsia" w:ascii="仿宋" w:hAnsi="仿宋" w:eastAsia="仿宋" w:cs="仿宋"/>
                <w:color w:val="484848"/>
                <w:sz w:val="28"/>
                <w:szCs w:val="28"/>
                <w:bdr w:val="none" w:color="auto" w:sz="0" w:space="0"/>
              </w:rPr>
              <w:t>　　各级政府要全面落实对符合区域卫生规划的公立医院基本建设和设备购置、重点学科发展、人才培养、符合国家规定的离退休人员费用和政策性亏损补贴等投入，对公立医院承担的公共卫生任务给予专项补助，保障政府指定的紧急救治、救灾、援外、支农、支边和城乡医院对口支援等公共服务经费。落实对中医院（民族医院）、传染病院、精神病院、职业病防治院、妇产医院、儿童医院以及康复医院等专科医院的投入倾斜政策。 </w:t>
            </w:r>
            <w:r>
              <w:rPr>
                <w:rFonts w:hint="eastAsia" w:ascii="仿宋" w:hAnsi="仿宋" w:eastAsia="仿宋" w:cs="仿宋"/>
                <w:color w:val="484848"/>
                <w:sz w:val="28"/>
                <w:szCs w:val="28"/>
                <w:bdr w:val="none" w:color="auto" w:sz="0" w:space="0"/>
              </w:rPr>
              <w:br w:type="textWrapping"/>
            </w:r>
            <w:r>
              <w:rPr>
                <w:rFonts w:hint="eastAsia" w:ascii="仿宋" w:hAnsi="仿宋" w:eastAsia="仿宋" w:cs="仿宋"/>
                <w:color w:val="484848"/>
                <w:sz w:val="28"/>
                <w:szCs w:val="28"/>
                <w:bdr w:val="none" w:color="auto" w:sz="0" w:space="0"/>
              </w:rPr>
              <w:t>　　五、持续控制医疗费用不合理增长 </w:t>
            </w:r>
            <w:r>
              <w:rPr>
                <w:rFonts w:hint="eastAsia" w:ascii="仿宋" w:hAnsi="仿宋" w:eastAsia="仿宋" w:cs="仿宋"/>
                <w:color w:val="484848"/>
                <w:sz w:val="28"/>
                <w:szCs w:val="28"/>
                <w:bdr w:val="none" w:color="auto" w:sz="0" w:space="0"/>
              </w:rPr>
              <w:br w:type="textWrapping"/>
            </w:r>
            <w:r>
              <w:rPr>
                <w:rFonts w:hint="eastAsia" w:ascii="仿宋" w:hAnsi="仿宋" w:eastAsia="仿宋" w:cs="仿宋"/>
                <w:color w:val="484848"/>
                <w:sz w:val="28"/>
                <w:szCs w:val="28"/>
                <w:bdr w:val="none" w:color="auto" w:sz="0" w:space="0"/>
              </w:rPr>
              <w:t>　　2018年，继续控制医疗费用不合理增长，逐步实现医疗费用增长与国民经济发展相协调。各地要根据近年来省、地市、县级经济社会发展情况和医疗费用增长情况，科学设定年度医疗费用增长控制指标，逐级分解到各地市、县（市、区、师），不搞“一刀切”；要结合各级各类公立医院功能定位、提供服务情况和建立分级诊疗制度要求，将控费指标细化分解到每家医院，不搞“一刀切”。国家卫生计生委和国家中医药管理局属管医院纳入属地医疗费用控制范围。 </w:t>
            </w:r>
            <w:r>
              <w:rPr>
                <w:rFonts w:hint="eastAsia" w:ascii="仿宋" w:hAnsi="仿宋" w:eastAsia="仿宋" w:cs="仿宋"/>
                <w:color w:val="484848"/>
                <w:sz w:val="28"/>
                <w:szCs w:val="28"/>
                <w:bdr w:val="none" w:color="auto" w:sz="0" w:space="0"/>
              </w:rPr>
              <w:br w:type="textWrapping"/>
            </w:r>
            <w:r>
              <w:rPr>
                <w:rFonts w:hint="eastAsia" w:ascii="仿宋" w:hAnsi="仿宋" w:eastAsia="仿宋" w:cs="仿宋"/>
                <w:color w:val="484848"/>
                <w:sz w:val="28"/>
                <w:szCs w:val="28"/>
                <w:bdr w:val="none" w:color="auto" w:sz="0" w:space="0"/>
              </w:rPr>
              <w:t>　　六、持续深化重点领域和关键环节改革 </w:t>
            </w:r>
            <w:r>
              <w:rPr>
                <w:rFonts w:hint="eastAsia" w:ascii="仿宋" w:hAnsi="仿宋" w:eastAsia="仿宋" w:cs="仿宋"/>
                <w:color w:val="484848"/>
                <w:sz w:val="28"/>
                <w:szCs w:val="28"/>
                <w:bdr w:val="none" w:color="auto" w:sz="0" w:space="0"/>
              </w:rPr>
              <w:br w:type="textWrapping"/>
            </w:r>
            <w:r>
              <w:rPr>
                <w:rFonts w:hint="eastAsia" w:ascii="仿宋" w:hAnsi="仿宋" w:eastAsia="仿宋" w:cs="仿宋"/>
                <w:color w:val="484848"/>
                <w:sz w:val="28"/>
                <w:szCs w:val="28"/>
                <w:bdr w:val="none" w:color="auto" w:sz="0" w:space="0"/>
              </w:rPr>
              <w:t>　　继续落实《国务院办公厅关于全面推开县级公立医院综合改革的实施意见》（国办发〔2015〕33号）和《国务院办公厅关于城市公立医院综合改革试点的指导意见》（国办发〔2015〕38号），进一步增强改革的系统性、整体性、协同性。2018年，全国公立医院药占比（不含中药饮片）、百元医疗收入（不含药品收入）中消耗的卫生材料费用总体较上年持续下降，医疗服务收入（不含药品、耗材、检查、化验收入）占医疗收入的比例总体较上年持续上升。 </w:t>
            </w:r>
            <w:r>
              <w:rPr>
                <w:rFonts w:hint="eastAsia" w:ascii="仿宋" w:hAnsi="仿宋" w:eastAsia="仿宋" w:cs="仿宋"/>
                <w:color w:val="484848"/>
                <w:sz w:val="28"/>
                <w:szCs w:val="28"/>
                <w:bdr w:val="none" w:color="auto" w:sz="0" w:space="0"/>
              </w:rPr>
              <w:br w:type="textWrapping"/>
            </w:r>
            <w:r>
              <w:rPr>
                <w:rFonts w:hint="eastAsia" w:ascii="仿宋" w:hAnsi="仿宋" w:eastAsia="仿宋" w:cs="仿宋"/>
                <w:color w:val="484848"/>
                <w:sz w:val="28"/>
                <w:szCs w:val="28"/>
                <w:bdr w:val="none" w:color="auto" w:sz="0" w:space="0"/>
              </w:rPr>
              <w:t>　（一）深化医疗服务价格改革。认真落实医疗服务价格改革政策，在前期取消药品加成并同步调整医疗服务价格基础上，通过规范诊疗行为，降低药品、耗材等费用腾出空间，进一步优化调整医疗服务价格，并做好与医保支付、医疗控费、分级诊疗等政策的相互衔接，保证医疗机构良性运行、医保基金可承受、群众负担总体不增加。到2020年，逐步建立以成本和收入结构变化为基础的价格动态调整机制，基本理顺医疗服务比价关系。深化医疗服务定价方式改革，进一步扩大按病种收费、按服务单元收费范围和数量。优化规范现有医疗服务价格项目，加快审核新增医疗服务价格项目，促进医疗新技术研发应用。对质量差异小、价格相近的同种高值医用耗材，探索实行纳入医疗服务打包收费，制定统一的医疗服务价格。 </w:t>
            </w:r>
            <w:r>
              <w:rPr>
                <w:rFonts w:hint="eastAsia" w:ascii="仿宋" w:hAnsi="仿宋" w:eastAsia="仿宋" w:cs="仿宋"/>
                <w:color w:val="484848"/>
                <w:sz w:val="28"/>
                <w:szCs w:val="28"/>
                <w:bdr w:val="none" w:color="auto" w:sz="0" w:space="0"/>
              </w:rPr>
              <w:br w:type="textWrapping"/>
            </w:r>
            <w:r>
              <w:rPr>
                <w:rFonts w:hint="eastAsia" w:ascii="仿宋" w:hAnsi="仿宋" w:eastAsia="仿宋" w:cs="仿宋"/>
                <w:color w:val="484848"/>
                <w:sz w:val="28"/>
                <w:szCs w:val="28"/>
                <w:bdr w:val="none" w:color="auto" w:sz="0" w:space="0"/>
              </w:rPr>
              <w:t>　（二）扎实推进医保支付方式改革。贯彻落实《国务院办公厅关于进一步深化基本医疗保险支付方式改革的指导意见》（国办发〔2017〕55号），建立并不断完善符合国情和医疗服务特点的医保支付体系。全面推行以按病种付费为重点的多元复合式医保支付方式，2018年国家统一确定100个以上的病种，指导各地推进实施。推进按疾病诊断相关分组（DRG）付费试点，完善按人头、按床日等多种付费方式。探索符合中医药服务特点的支付方式，鼓励提供和使用适宜的中医药服务。建立“结余留用、合理超支分担”的激励和风险分担机制，提高公立医院自我管理、控制成本的积极性。 </w:t>
            </w:r>
            <w:r>
              <w:rPr>
                <w:rFonts w:hint="eastAsia" w:ascii="仿宋" w:hAnsi="仿宋" w:eastAsia="仿宋" w:cs="仿宋"/>
                <w:color w:val="484848"/>
                <w:sz w:val="28"/>
                <w:szCs w:val="28"/>
                <w:bdr w:val="none" w:color="auto" w:sz="0" w:space="0"/>
              </w:rPr>
              <w:br w:type="textWrapping"/>
            </w:r>
            <w:r>
              <w:rPr>
                <w:rFonts w:hint="eastAsia" w:ascii="仿宋" w:hAnsi="仿宋" w:eastAsia="仿宋" w:cs="仿宋"/>
                <w:color w:val="484848"/>
                <w:sz w:val="28"/>
                <w:szCs w:val="28"/>
                <w:bdr w:val="none" w:color="auto" w:sz="0" w:space="0"/>
              </w:rPr>
              <w:t>　（三）持续深化药品耗材领域改革。贯彻落实改革完善药品生产流通使用政策，实行药品分类采购，鼓励跨区域和专科医院联合采购。2018年，各省份要将药品购销“两票制”方案落实落地，推进数据共享、违法线索互联、监管标准互通、处理结果互认。实行高值医用耗材分类集中采购，逐步推行高值医用耗材购销“两票制”。建立健全短缺药品供应保障体系和机制，更好满足临床合理用药需求。 </w:t>
            </w:r>
            <w:r>
              <w:rPr>
                <w:rFonts w:hint="eastAsia" w:ascii="仿宋" w:hAnsi="仿宋" w:eastAsia="仿宋" w:cs="仿宋"/>
                <w:color w:val="484848"/>
                <w:sz w:val="28"/>
                <w:szCs w:val="28"/>
                <w:bdr w:val="none" w:color="auto" w:sz="0" w:space="0"/>
              </w:rPr>
              <w:br w:type="textWrapping"/>
            </w:r>
            <w:r>
              <w:rPr>
                <w:rFonts w:hint="eastAsia" w:ascii="仿宋" w:hAnsi="仿宋" w:eastAsia="仿宋" w:cs="仿宋"/>
                <w:color w:val="484848"/>
                <w:sz w:val="28"/>
                <w:szCs w:val="28"/>
                <w:bdr w:val="none" w:color="auto" w:sz="0" w:space="0"/>
              </w:rPr>
              <w:t>　　（四）扩大公立医院薪酬制度改革试点。按照人力资源社会保障部、财政部、国家卫生计生委、国家中医药管理局《关于开展公立医院薪酬制度改革试点工作的指导意见》（人社部发〔2017〕10号）和《关于扩大公立医院薪酬制度改革试点的通知》（人社部发〔2017〕92号）要求，积极做好试点工作，为探索建立适应我国医疗行业特点、体现以知识价值为导向的公立医院薪酬制度，调动医务人员的积极性、主动性、创造性，推动公立医院事业发展奠定基础。 </w:t>
            </w:r>
            <w:r>
              <w:rPr>
                <w:rFonts w:hint="eastAsia" w:ascii="仿宋" w:hAnsi="仿宋" w:eastAsia="仿宋" w:cs="仿宋"/>
                <w:color w:val="484848"/>
                <w:sz w:val="28"/>
                <w:szCs w:val="28"/>
                <w:bdr w:val="none" w:color="auto" w:sz="0" w:space="0"/>
              </w:rPr>
              <w:br w:type="textWrapping"/>
            </w:r>
            <w:r>
              <w:rPr>
                <w:rFonts w:hint="eastAsia" w:ascii="仿宋" w:hAnsi="仿宋" w:eastAsia="仿宋" w:cs="仿宋"/>
                <w:color w:val="484848"/>
                <w:sz w:val="28"/>
                <w:szCs w:val="28"/>
                <w:bdr w:val="none" w:color="auto" w:sz="0" w:space="0"/>
              </w:rPr>
              <w:t>　　七、全面开展便民惠民服务 </w:t>
            </w:r>
            <w:r>
              <w:rPr>
                <w:rFonts w:hint="eastAsia" w:ascii="仿宋" w:hAnsi="仿宋" w:eastAsia="仿宋" w:cs="仿宋"/>
                <w:color w:val="484848"/>
                <w:sz w:val="28"/>
                <w:szCs w:val="28"/>
                <w:bdr w:val="none" w:color="auto" w:sz="0" w:space="0"/>
              </w:rPr>
              <w:br w:type="textWrapping"/>
            </w:r>
            <w:r>
              <w:rPr>
                <w:rFonts w:hint="eastAsia" w:ascii="仿宋" w:hAnsi="仿宋" w:eastAsia="仿宋" w:cs="仿宋"/>
                <w:color w:val="484848"/>
                <w:sz w:val="28"/>
                <w:szCs w:val="28"/>
                <w:bdr w:val="none" w:color="auto" w:sz="0" w:space="0"/>
              </w:rPr>
              <w:t>　　2018—2020年实施新一轮改善医疗服务行动计划，持续增强群众就医获得感。加快推广预约诊疗、远程医疗、日间手术、日间化疗等医疗服务模式，提高医疗服务效率。推进胸痛中心、卒中中心、创伤中心等多学科联合诊疗模式建设，畅通院前院内急诊绿色通道。继续开展中医诊疗模式创新工作，优化中医药服务。充分利用信息化手段，推进检查检验结果查询、推送与互认，开展移动支付、出院患者床旁结算、门诊患者诊间结算等服务，使患者就医更加方便、快捷。依托区域全民健康信息平台，发挥互联网、大数据、人工智能等信息技术作用，打通医疗机构之间的信息通道，实现就诊卡和诊疗信息共享，在医联体内形成一体化的医疗服务，让信息多跑路、病人少跑腿。 </w:t>
            </w:r>
            <w:r>
              <w:rPr>
                <w:rFonts w:hint="eastAsia" w:ascii="仿宋" w:hAnsi="仿宋" w:eastAsia="仿宋" w:cs="仿宋"/>
                <w:color w:val="484848"/>
                <w:sz w:val="28"/>
                <w:szCs w:val="28"/>
                <w:bdr w:val="none" w:color="auto" w:sz="0" w:space="0"/>
              </w:rPr>
              <w:br w:type="textWrapping"/>
            </w:r>
            <w:r>
              <w:rPr>
                <w:rFonts w:hint="eastAsia" w:ascii="仿宋" w:hAnsi="仿宋" w:eastAsia="仿宋" w:cs="仿宋"/>
                <w:color w:val="484848"/>
                <w:sz w:val="28"/>
                <w:szCs w:val="28"/>
                <w:bdr w:val="none" w:color="auto" w:sz="0" w:space="0"/>
              </w:rPr>
              <w:t>　　八、加强示范引领 </w:t>
            </w:r>
            <w:r>
              <w:rPr>
                <w:rFonts w:hint="eastAsia" w:ascii="仿宋" w:hAnsi="仿宋" w:eastAsia="仿宋" w:cs="仿宋"/>
                <w:color w:val="484848"/>
                <w:sz w:val="28"/>
                <w:szCs w:val="28"/>
                <w:bdr w:val="none" w:color="auto" w:sz="0" w:space="0"/>
              </w:rPr>
              <w:br w:type="textWrapping"/>
            </w:r>
            <w:r>
              <w:rPr>
                <w:rFonts w:hint="eastAsia" w:ascii="仿宋" w:hAnsi="仿宋" w:eastAsia="仿宋" w:cs="仿宋"/>
                <w:color w:val="484848"/>
                <w:sz w:val="28"/>
                <w:szCs w:val="28"/>
                <w:bdr w:val="none" w:color="auto" w:sz="0" w:space="0"/>
              </w:rPr>
              <w:t>　　公立医院综合改革国家级示范城市、示范县（市、区、旗）要加大改革力度，在重点领域和关键环节先行先试、率先突破。确定若干现代医院管理制度示范医院，以点带面推动现代医院管理制度建设。各地要积极开展省级示范工作，加大对国家级、省级示范地区和医院的支持力度。根据公立医院综合改革效果评价考核结果，建立示范退出机制，对改革进展缓慢或工作停滞不前的示范地区和医院限期整改，整改不到位的撤销其示范资格。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exact"/>
              <w:ind w:left="0" w:leftChars="0" w:right="0" w:rightChars="0" w:firstLine="420" w:firstLineChars="0"/>
              <w:jc w:val="center"/>
              <w:textAlignment w:val="auto"/>
              <w:outlineLvl w:val="9"/>
              <w:rPr>
                <w:rFonts w:hint="eastAsia" w:ascii="仿宋" w:hAnsi="仿宋" w:eastAsia="仿宋" w:cs="仿宋"/>
                <w:color w:val="484848"/>
                <w:sz w:val="28"/>
                <w:szCs w:val="28"/>
              </w:rPr>
            </w:pPr>
            <w:r>
              <w:rPr>
                <w:rFonts w:hint="eastAsia" w:ascii="仿宋" w:hAnsi="仿宋" w:eastAsia="仿宋" w:cs="仿宋"/>
                <w:color w:val="484848"/>
                <w:sz w:val="28"/>
                <w:szCs w:val="28"/>
                <w:bdr w:val="none" w:color="auto" w:sz="0" w:space="0"/>
              </w:rPr>
              <w:br w:type="textWrapping"/>
            </w:r>
            <w:r>
              <w:rPr>
                <w:rFonts w:hint="eastAsia" w:ascii="仿宋" w:hAnsi="仿宋" w:eastAsia="仿宋" w:cs="仿宋"/>
                <w:color w:val="484848"/>
                <w:sz w:val="28"/>
                <w:szCs w:val="28"/>
                <w:bdr w:val="none" w:color="auto" w:sz="0" w:space="0"/>
              </w:rPr>
              <w:t>    国家卫生计生委  财政部</w:t>
            </w:r>
            <w:r>
              <w:rPr>
                <w:rFonts w:hint="eastAsia" w:ascii="仿宋" w:hAnsi="仿宋" w:eastAsia="仿宋" w:cs="仿宋"/>
                <w:color w:val="484848"/>
                <w:sz w:val="28"/>
                <w:szCs w:val="28"/>
                <w:bdr w:val="none" w:color="auto" w:sz="0" w:space="0"/>
              </w:rPr>
              <w:br w:type="textWrapping"/>
            </w:r>
            <w:r>
              <w:rPr>
                <w:rFonts w:hint="eastAsia" w:ascii="仿宋" w:hAnsi="仿宋" w:eastAsia="仿宋" w:cs="仿宋"/>
                <w:color w:val="484848"/>
                <w:sz w:val="28"/>
                <w:szCs w:val="28"/>
                <w:bdr w:val="none" w:color="auto" w:sz="0" w:space="0"/>
              </w:rPr>
              <w:t>    国家发展改革委  人力资源社会保障部</w:t>
            </w:r>
            <w:r>
              <w:rPr>
                <w:rFonts w:hint="eastAsia" w:ascii="仿宋" w:hAnsi="仿宋" w:eastAsia="仿宋" w:cs="仿宋"/>
                <w:color w:val="484848"/>
                <w:sz w:val="28"/>
                <w:szCs w:val="28"/>
                <w:bdr w:val="none" w:color="auto" w:sz="0" w:space="0"/>
              </w:rPr>
              <w:br w:type="textWrapping"/>
            </w:r>
            <w:r>
              <w:rPr>
                <w:rFonts w:hint="eastAsia" w:ascii="仿宋" w:hAnsi="仿宋" w:eastAsia="仿宋" w:cs="仿宋"/>
                <w:color w:val="484848"/>
                <w:sz w:val="28"/>
                <w:szCs w:val="28"/>
                <w:bdr w:val="none" w:color="auto" w:sz="0" w:space="0"/>
              </w:rPr>
              <w:t>    国家中医药管理局  国务院医改办 </w:t>
            </w:r>
            <w:r>
              <w:rPr>
                <w:rFonts w:hint="eastAsia" w:ascii="仿宋" w:hAnsi="仿宋" w:eastAsia="仿宋" w:cs="仿宋"/>
                <w:color w:val="484848"/>
                <w:sz w:val="28"/>
                <w:szCs w:val="28"/>
                <w:bdr w:val="none" w:color="auto" w:sz="0" w:space="0"/>
              </w:rPr>
              <w:br w:type="textWrapping"/>
            </w:r>
            <w:r>
              <w:rPr>
                <w:rFonts w:hint="eastAsia" w:ascii="仿宋" w:hAnsi="仿宋" w:eastAsia="仿宋" w:cs="仿宋"/>
                <w:color w:val="484848"/>
                <w:sz w:val="28"/>
                <w:szCs w:val="28"/>
                <w:bdr w:val="none" w:color="auto" w:sz="0" w:space="0"/>
              </w:rPr>
              <w:t>2018年3月5日 </w:t>
            </w:r>
            <w:r>
              <w:rPr>
                <w:rFonts w:hint="eastAsia" w:ascii="仿宋" w:hAnsi="仿宋" w:eastAsia="仿宋" w:cs="仿宋"/>
                <w:color w:val="484848"/>
                <w:sz w:val="28"/>
                <w:szCs w:val="28"/>
                <w:bdr w:val="none" w:color="auto" w:sz="0" w:space="0"/>
              </w:rPr>
              <w:br w:type="textWrapping"/>
            </w:r>
            <w:r>
              <w:rPr>
                <w:rFonts w:hint="eastAsia" w:ascii="仿宋" w:hAnsi="仿宋" w:eastAsia="仿宋" w:cs="仿宋"/>
                <w:color w:val="484848"/>
                <w:sz w:val="28"/>
                <w:szCs w:val="28"/>
                <w:bdr w:val="none" w:color="auto" w:sz="0" w:space="0"/>
              </w:rPr>
              <w:t>（信息公开形式：主动公开）</w:t>
            </w:r>
          </w:p>
        </w:tc>
      </w:tr>
      <w:tr>
        <w:tblPrEx>
          <w:tblLayout w:type="fixed"/>
          <w:tblCellMar>
            <w:top w:w="0" w:type="dxa"/>
            <w:left w:w="0" w:type="dxa"/>
            <w:bottom w:w="0" w:type="dxa"/>
            <w:right w:w="0" w:type="dxa"/>
          </w:tblCellMar>
        </w:tblPrEx>
        <w:trPr>
          <w:tblCellSpacing w:w="0" w:type="dxa"/>
          <w:jc w:val="center"/>
        </w:trPr>
        <w:tc>
          <w:tcPr>
            <w:tcW w:w="8830" w:type="dxa"/>
            <w:tcBorders>
              <w:bottom w:val="single" w:color="000000" w:sz="6" w:space="0"/>
            </w:tcBorders>
            <w:shd w:val="clear"/>
            <w:tcMar>
              <w:top w:w="75" w:type="dxa"/>
              <w:bottom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ind w:left="0" w:leftChars="0" w:right="0" w:rightChars="0" w:firstLine="420" w:firstLineChars="0"/>
              <w:jc w:val="left"/>
              <w:textAlignment w:val="auto"/>
              <w:outlineLvl w:val="9"/>
              <w:rPr>
                <w:rFonts w:hint="eastAsia" w:ascii="仿宋" w:hAnsi="仿宋" w:eastAsia="仿宋" w:cs="仿宋"/>
                <w:b/>
                <w:sz w:val="28"/>
                <w:szCs w:val="28"/>
              </w:rPr>
            </w:pPr>
            <w:r>
              <w:rPr>
                <w:rFonts w:hint="eastAsia" w:ascii="仿宋" w:hAnsi="仿宋" w:eastAsia="仿宋" w:cs="仿宋"/>
                <w:b/>
                <w:kern w:val="0"/>
                <w:sz w:val="28"/>
                <w:szCs w:val="28"/>
                <w:bdr w:val="none" w:color="auto" w:sz="0" w:space="0"/>
                <w:lang w:val="en-US" w:eastAsia="zh-CN" w:bidi="ar"/>
              </w:rPr>
              <w:t xml:space="preserve">主题词： </w:t>
            </w:r>
          </w:p>
        </w:tc>
      </w:tr>
      <w:tr>
        <w:tblPrEx>
          <w:tblLayout w:type="fixed"/>
          <w:tblCellMar>
            <w:top w:w="0" w:type="dxa"/>
            <w:left w:w="0" w:type="dxa"/>
            <w:bottom w:w="0" w:type="dxa"/>
            <w:right w:w="0" w:type="dxa"/>
          </w:tblCellMar>
        </w:tblPrEx>
        <w:trPr>
          <w:tblCellSpacing w:w="0" w:type="dxa"/>
          <w:jc w:val="center"/>
        </w:trPr>
        <w:tc>
          <w:tcPr>
            <w:tcW w:w="8830" w:type="dxa"/>
            <w:shd w:val="clear"/>
            <w:tcMar>
              <w:top w:w="75" w:type="dxa"/>
              <w:bottom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ind w:left="0" w:leftChars="0" w:right="0" w:rightChars="0" w:firstLine="420" w:firstLineChars="0"/>
              <w:jc w:val="left"/>
              <w:textAlignment w:val="auto"/>
              <w:outlineLvl w:val="9"/>
              <w:rPr>
                <w:rFonts w:hint="eastAsia" w:ascii="仿宋" w:hAnsi="仿宋" w:eastAsia="仿宋" w:cs="仿宋"/>
                <w:sz w:val="28"/>
                <w:szCs w:val="28"/>
              </w:rPr>
            </w:pPr>
            <w:r>
              <w:rPr>
                <w:rFonts w:hint="eastAsia" w:ascii="仿宋" w:hAnsi="仿宋" w:eastAsia="仿宋" w:cs="仿宋"/>
                <w:kern w:val="0"/>
                <w:sz w:val="28"/>
                <w:szCs w:val="28"/>
                <w:bdr w:val="none" w:color="auto" w:sz="0" w:space="0"/>
                <w:lang w:val="en-US" w:eastAsia="zh-CN" w:bidi="ar"/>
              </w:rPr>
              <w:t xml:space="preserve">主送：各省、自治区、直辖市及新疆生产建设兵团卫生计生委、财政厅（局）、发展改革委、人力资源社会保障厅（局）、中医药管理局、医改办 </w:t>
            </w:r>
            <w:bookmarkStart w:id="0" w:name="_GoBack"/>
            <w:bookmarkEnd w:id="0"/>
          </w:p>
        </w:tc>
      </w:tr>
      <w:tr>
        <w:tblPrEx>
          <w:tblLayout w:type="fixed"/>
          <w:tblCellMar>
            <w:top w:w="0" w:type="dxa"/>
            <w:left w:w="0" w:type="dxa"/>
            <w:bottom w:w="0" w:type="dxa"/>
            <w:right w:w="0" w:type="dxa"/>
          </w:tblCellMar>
        </w:tblPrEx>
        <w:trPr>
          <w:tblCellSpacing w:w="0" w:type="dxa"/>
          <w:jc w:val="center"/>
        </w:trPr>
        <w:tc>
          <w:tcPr>
            <w:tcW w:w="8830" w:type="dxa"/>
            <w:tcBorders>
              <w:bottom w:val="single" w:color="000000" w:sz="6" w:space="0"/>
            </w:tcBorders>
            <w:shd w:val="clear"/>
            <w:tcMar>
              <w:top w:w="75" w:type="dxa"/>
              <w:bottom w:w="7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ind w:left="0" w:leftChars="0" w:right="0" w:rightChars="0" w:firstLine="420" w:firstLineChars="0"/>
              <w:jc w:val="left"/>
              <w:textAlignment w:val="auto"/>
              <w:outlineLvl w:val="9"/>
              <w:rPr>
                <w:rFonts w:hint="eastAsia" w:ascii="仿宋" w:hAnsi="仿宋" w:eastAsia="仿宋" w:cs="仿宋"/>
                <w:sz w:val="28"/>
                <w:szCs w:val="28"/>
              </w:rPr>
            </w:pPr>
            <w:r>
              <w:rPr>
                <w:rFonts w:hint="eastAsia" w:ascii="仿宋" w:hAnsi="仿宋" w:eastAsia="仿宋" w:cs="仿宋"/>
                <w:kern w:val="0"/>
                <w:sz w:val="28"/>
                <w:szCs w:val="28"/>
                <w:bdr w:val="none" w:color="auto" w:sz="0" w:space="0"/>
                <w:lang w:val="en-US" w:eastAsia="zh-CN" w:bidi="ar"/>
              </w:rPr>
              <w:t xml:space="preserve">抄送：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SimSun ! importa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A70D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1" w:after="0" w:afterAutospacing="1" w:line="384" w:lineRule="auto"/>
      <w:jc w:val="center"/>
    </w:pPr>
    <w:rPr>
      <w:rFonts w:hint="eastAsia" w:ascii="宋体" w:hAnsi="宋体" w:eastAsia="宋体" w:cs="宋体"/>
      <w:b/>
      <w:kern w:val="0"/>
      <w:sz w:val="39"/>
      <w:szCs w:val="39"/>
      <w:lang w:val="en-US" w:eastAsia="zh-CN" w:bidi="ar"/>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firstLine="420"/>
      <w:jc w:val="left"/>
    </w:pPr>
    <w:rPr>
      <w:rFonts w:ascii="SimSun ! important" w:hAnsi="SimSun ! important" w:eastAsia="SimSun ! important" w:cs="SimSun ! important"/>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fengyx</cp:lastModifiedBy>
  <dcterms:modified xsi:type="dcterms:W3CDTF">2018-03-24T01:05:24Z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