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830" w:type="dxa"/>
        <w:jc w:val="center"/>
        <w:tblCellSpacing w:w="0" w:type="dxa"/>
        <w:tblInd w:w="167" w:type="dxa"/>
        <w:shd w:val="clear"/>
        <w:tblLayout w:type="fixed"/>
        <w:tblCellMar>
          <w:top w:w="0" w:type="dxa"/>
          <w:left w:w="0" w:type="dxa"/>
          <w:bottom w:w="0" w:type="dxa"/>
          <w:right w:w="0" w:type="dxa"/>
        </w:tblCellMar>
      </w:tblPr>
      <w:tblGrid>
        <w:gridCol w:w="8830"/>
      </w:tblGrid>
      <w:tr>
        <w:tblPrEx>
          <w:shd w:val="clear"/>
          <w:tblLayout w:type="fixed"/>
        </w:tblPrEx>
        <w:trPr>
          <w:tblCellSpacing w:w="0" w:type="dxa"/>
          <w:jc w:val="center"/>
        </w:trPr>
        <w:tc>
          <w:tcPr>
            <w:tcW w:w="8830" w:type="dxa"/>
            <w:shd w:val="clear"/>
            <w:tcMar>
              <w:top w:w="75" w:type="dxa"/>
              <w:bottom w:w="75" w:type="dxa"/>
            </w:tcMar>
            <w:vAlign w:val="center"/>
          </w:tcPr>
          <w:tbl>
            <w:tblPr>
              <w:tblW w:w="859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066"/>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7021" w:type="dxa"/>
                  <w:shd w:val="clear"/>
                  <w:tcMar>
                    <w:top w:w="75" w:type="dxa"/>
                    <w:left w:w="0" w:type="dxa"/>
                    <w:bottom w:w="75" w:type="dxa"/>
                    <w:right w:w="0" w:type="dxa"/>
                  </w:tcMar>
                  <w:vAlign w:val="center"/>
                </w:tcPr>
                <w:p>
                  <w:pPr>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line="18" w:lineRule="atLeast"/>
                    <w:ind w:left="0" w:leftChars="0" w:right="0" w:rightChars="0" w:firstLine="0" w:firstLineChars="0"/>
                    <w:jc w:val="center"/>
                    <w:textAlignment w:val="auto"/>
                    <w:outlineLvl w:val="9"/>
                    <w:rPr>
                      <w:rFonts w:ascii="宋体" w:hAnsi="宋体" w:eastAsia="宋体" w:cs="宋体"/>
                      <w:b/>
                      <w:color w:val="FF0000"/>
                      <w:spacing w:val="-75"/>
                      <w:kern w:val="0"/>
                      <w:sz w:val="60"/>
                      <w:szCs w:val="60"/>
                      <w:bdr w:val="none" w:color="auto" w:sz="0" w:space="0"/>
                      <w:lang w:val="en-US" w:eastAsia="zh-CN" w:bidi="ar"/>
                    </w:rPr>
                  </w:pPr>
                  <w:r>
                    <w:rPr>
                      <w:rFonts w:ascii="宋体" w:hAnsi="宋体" w:eastAsia="宋体" w:cs="宋体"/>
                      <w:b/>
                      <w:color w:val="FF0000"/>
                      <w:spacing w:val="-75"/>
                      <w:kern w:val="0"/>
                      <w:sz w:val="60"/>
                      <w:szCs w:val="60"/>
                      <w:bdr w:val="none" w:color="auto" w:sz="0" w:space="0"/>
                      <w:lang w:val="en-US" w:eastAsia="zh-CN" w:bidi="ar"/>
                    </w:rPr>
                    <w:t>国</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家</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卫</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生</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计</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生</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委</w:t>
                  </w:r>
                </w:p>
                <w:p>
                  <w:pPr>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line="18" w:lineRule="atLeast"/>
                    <w:ind w:left="0" w:leftChars="0" w:right="0" w:rightChars="0" w:firstLine="0" w:firstLineChars="0"/>
                    <w:jc w:val="center"/>
                    <w:textAlignment w:val="auto"/>
                    <w:outlineLvl w:val="9"/>
                    <w:rPr>
                      <w:rFonts w:ascii="宋体" w:hAnsi="宋体" w:eastAsia="宋体" w:cs="宋体"/>
                      <w:b/>
                      <w:color w:val="FF0000"/>
                      <w:spacing w:val="-75"/>
                      <w:kern w:val="0"/>
                      <w:sz w:val="60"/>
                      <w:szCs w:val="60"/>
                      <w:bdr w:val="none" w:color="auto" w:sz="0" w:space="0"/>
                      <w:lang w:val="en-US" w:eastAsia="zh-CN" w:bidi="ar"/>
                    </w:rPr>
                  </w:pPr>
                  <w:r>
                    <w:rPr>
                      <w:rFonts w:ascii="宋体" w:hAnsi="宋体" w:eastAsia="宋体" w:cs="宋体"/>
                      <w:b/>
                      <w:color w:val="FF0000"/>
                      <w:spacing w:val="-75"/>
                      <w:kern w:val="0"/>
                      <w:sz w:val="60"/>
                      <w:szCs w:val="60"/>
                      <w:bdr w:val="none" w:color="auto" w:sz="0" w:space="0"/>
                      <w:lang w:val="en-US" w:eastAsia="zh-CN" w:bidi="ar"/>
                    </w:rPr>
                    <w:t>财</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政</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部</w:t>
                  </w:r>
                </w:p>
                <w:p>
                  <w:pPr>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line="18" w:lineRule="atLeast"/>
                    <w:ind w:left="0" w:leftChars="0" w:right="0" w:rightChars="0" w:firstLine="0" w:firstLineChars="0"/>
                    <w:jc w:val="center"/>
                    <w:textAlignment w:val="auto"/>
                    <w:outlineLvl w:val="9"/>
                    <w:rPr>
                      <w:rFonts w:ascii="宋体" w:hAnsi="宋体" w:eastAsia="宋体" w:cs="宋体"/>
                      <w:b/>
                      <w:color w:val="FF0000"/>
                      <w:spacing w:val="-75"/>
                      <w:kern w:val="0"/>
                      <w:sz w:val="60"/>
                      <w:szCs w:val="60"/>
                      <w:bdr w:val="none" w:color="auto" w:sz="0" w:space="0"/>
                      <w:lang w:val="en-US" w:eastAsia="zh-CN" w:bidi="ar"/>
                    </w:rPr>
                  </w:pPr>
                  <w:r>
                    <w:rPr>
                      <w:rFonts w:ascii="宋体" w:hAnsi="宋体" w:eastAsia="宋体" w:cs="宋体"/>
                      <w:b/>
                      <w:color w:val="FF0000"/>
                      <w:spacing w:val="-75"/>
                      <w:kern w:val="0"/>
                      <w:sz w:val="60"/>
                      <w:szCs w:val="60"/>
                      <w:bdr w:val="none" w:color="auto" w:sz="0" w:space="0"/>
                      <w:lang w:val="en-US" w:eastAsia="zh-CN" w:bidi="ar"/>
                    </w:rPr>
                    <w:t>国</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家</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发</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展</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改</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革</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委</w:t>
                  </w:r>
                </w:p>
                <w:p>
                  <w:pPr>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line="18" w:lineRule="atLeast"/>
                    <w:ind w:left="0" w:leftChars="0" w:right="0" w:rightChars="0" w:firstLine="0" w:firstLineChars="0"/>
                    <w:jc w:val="center"/>
                    <w:textAlignment w:val="auto"/>
                    <w:outlineLvl w:val="9"/>
                    <w:rPr>
                      <w:rFonts w:ascii="宋体" w:hAnsi="宋体" w:eastAsia="宋体" w:cs="宋体"/>
                      <w:b/>
                      <w:color w:val="FF0000"/>
                      <w:spacing w:val="-75"/>
                      <w:kern w:val="0"/>
                      <w:sz w:val="60"/>
                      <w:szCs w:val="60"/>
                      <w:bdr w:val="none" w:color="auto" w:sz="0" w:space="0"/>
                      <w:lang w:val="en-US" w:eastAsia="zh-CN" w:bidi="ar"/>
                    </w:rPr>
                  </w:pPr>
                  <w:r>
                    <w:rPr>
                      <w:rFonts w:ascii="宋体" w:hAnsi="宋体" w:eastAsia="宋体" w:cs="宋体"/>
                      <w:b/>
                      <w:color w:val="FF0000"/>
                      <w:spacing w:val="-75"/>
                      <w:kern w:val="0"/>
                      <w:sz w:val="60"/>
                      <w:szCs w:val="60"/>
                      <w:bdr w:val="none" w:color="auto" w:sz="0" w:space="0"/>
                      <w:lang w:val="en-US" w:eastAsia="zh-CN" w:bidi="ar"/>
                    </w:rPr>
                    <w:t>人</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力</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资</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源</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社</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会</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保</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障</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部</w:t>
                  </w:r>
                </w:p>
                <w:p>
                  <w:pPr>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line="18" w:lineRule="atLeast"/>
                    <w:ind w:left="0" w:leftChars="0" w:right="0" w:rightChars="0" w:firstLine="0" w:firstLineChars="0"/>
                    <w:jc w:val="center"/>
                    <w:textAlignment w:val="auto"/>
                    <w:outlineLvl w:val="9"/>
                    <w:rPr>
                      <w:rFonts w:ascii="宋体" w:hAnsi="宋体" w:eastAsia="宋体" w:cs="宋体"/>
                      <w:b/>
                      <w:color w:val="FF0000"/>
                      <w:spacing w:val="-75"/>
                      <w:kern w:val="0"/>
                      <w:sz w:val="60"/>
                      <w:szCs w:val="60"/>
                      <w:bdr w:val="none" w:color="auto" w:sz="0" w:space="0"/>
                      <w:lang w:val="en-US" w:eastAsia="zh-CN" w:bidi="ar"/>
                    </w:rPr>
                  </w:pPr>
                  <w:r>
                    <w:rPr>
                      <w:rFonts w:ascii="宋体" w:hAnsi="宋体" w:eastAsia="宋体" w:cs="宋体"/>
                      <w:b/>
                      <w:color w:val="FF0000"/>
                      <w:spacing w:val="-75"/>
                      <w:kern w:val="0"/>
                      <w:sz w:val="60"/>
                      <w:szCs w:val="60"/>
                      <w:bdr w:val="none" w:color="auto" w:sz="0" w:space="0"/>
                      <w:lang w:val="en-US" w:eastAsia="zh-CN" w:bidi="ar"/>
                    </w:rPr>
                    <w:t>国</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家</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中</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医</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药</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管</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理</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局</w:t>
                  </w:r>
                </w:p>
                <w:p>
                  <w:pPr>
                    <w:keepNext w:val="0"/>
                    <w:keepLines w:val="0"/>
                    <w:pageBreakBefore w:val="0"/>
                    <w:widowControl/>
                    <w:suppressLineNumbers w:val="0"/>
                    <w:pBdr>
                      <w:left w:val="none" w:color="auto" w:sz="0" w:space="0"/>
                      <w:bottom w:val="none" w:color="auto" w:sz="0" w:space="0"/>
                      <w:right w:val="none" w:color="auto" w:sz="0" w:space="0"/>
                    </w:pBdr>
                    <w:kinsoku/>
                    <w:wordWrap/>
                    <w:overflowPunct/>
                    <w:topLinePunct w:val="0"/>
                    <w:autoSpaceDE/>
                    <w:autoSpaceDN/>
                    <w:bidi w:val="0"/>
                    <w:adjustRightInd w:val="0"/>
                    <w:snapToGrid w:val="0"/>
                    <w:spacing w:line="18" w:lineRule="atLeast"/>
                    <w:ind w:left="0" w:leftChars="0" w:right="0" w:rightChars="0" w:firstLine="0" w:firstLineChars="0"/>
                    <w:jc w:val="center"/>
                    <w:textAlignment w:val="auto"/>
                    <w:outlineLvl w:val="9"/>
                    <w:rPr>
                      <w:b/>
                      <w:color w:val="FF0000"/>
                      <w:spacing w:val="-75"/>
                      <w:sz w:val="70"/>
                      <w:szCs w:val="70"/>
                    </w:rPr>
                  </w:pPr>
                  <w:r>
                    <w:rPr>
                      <w:rFonts w:ascii="宋体" w:hAnsi="宋体" w:eastAsia="宋体" w:cs="宋体"/>
                      <w:b/>
                      <w:color w:val="FF0000"/>
                      <w:spacing w:val="-75"/>
                      <w:kern w:val="0"/>
                      <w:sz w:val="60"/>
                      <w:szCs w:val="60"/>
                      <w:bdr w:val="none" w:color="auto" w:sz="0" w:space="0"/>
                      <w:lang w:val="en-US" w:eastAsia="zh-CN" w:bidi="ar"/>
                    </w:rPr>
                    <w:t>国</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务</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院</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医</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改</w:t>
                  </w:r>
                  <w:r>
                    <w:rPr>
                      <w:rFonts w:hint="eastAsia" w:ascii="宋体" w:hAnsi="宋体" w:eastAsia="宋体" w:cs="宋体"/>
                      <w:b/>
                      <w:color w:val="FF0000"/>
                      <w:spacing w:val="-75"/>
                      <w:kern w:val="0"/>
                      <w:sz w:val="60"/>
                      <w:szCs w:val="60"/>
                      <w:bdr w:val="none" w:color="auto" w:sz="0" w:space="0"/>
                      <w:lang w:val="en-US" w:eastAsia="zh-CN" w:bidi="ar"/>
                    </w:rPr>
                    <w:t xml:space="preserve"> </w:t>
                  </w:r>
                  <w:r>
                    <w:rPr>
                      <w:rFonts w:ascii="宋体" w:hAnsi="宋体" w:eastAsia="宋体" w:cs="宋体"/>
                      <w:b/>
                      <w:color w:val="FF0000"/>
                      <w:spacing w:val="-75"/>
                      <w:kern w:val="0"/>
                      <w:sz w:val="60"/>
                      <w:szCs w:val="60"/>
                      <w:bdr w:val="none" w:color="auto" w:sz="0" w:space="0"/>
                      <w:lang w:val="en-US" w:eastAsia="zh-CN" w:bidi="ar"/>
                    </w:rPr>
                    <w:t>办</w:t>
                  </w:r>
                  <w:r>
                    <w:rPr>
                      <w:rFonts w:ascii="宋体" w:hAnsi="宋体" w:eastAsia="宋体" w:cs="宋体"/>
                      <w:b/>
                      <w:color w:val="FF0000"/>
                      <w:spacing w:val="-75"/>
                      <w:kern w:val="0"/>
                      <w:sz w:val="60"/>
                      <w:szCs w:val="60"/>
                      <w:bdr w:val="none" w:color="auto" w:sz="0" w:space="0"/>
                      <w:lang w:val="en-US" w:eastAsia="zh-CN" w:bidi="ar"/>
                    </w:rPr>
                    <w:t xml:space="preserve"> </w:t>
                  </w:r>
                </w:p>
              </w:tc>
              <w:tc>
                <w:tcPr>
                  <w:tcW w:w="1480" w:type="dxa"/>
                  <w:shd w:val="clear"/>
                  <w:tcMar>
                    <w:top w:w="75" w:type="dxa"/>
                    <w:left w:w="0" w:type="dxa"/>
                    <w:bottom w:w="75" w:type="dxa"/>
                    <w:right w:w="0" w:type="dxa"/>
                  </w:tcMar>
                  <w:vAlign w:val="center"/>
                </w:tcPr>
                <w:p>
                  <w:pPr>
                    <w:pStyle w:val="2"/>
                    <w:keepNext w:val="0"/>
                    <w:keepLines w:val="0"/>
                    <w:widowControl/>
                    <w:suppressLineNumbers w:val="0"/>
                    <w:spacing w:line="432" w:lineRule="auto"/>
                    <w:jc w:val="left"/>
                  </w:pPr>
                  <w:r>
                    <w:rPr>
                      <w:bdr w:val="none" w:color="auto" w:sz="0" w:space="0"/>
                    </w:rPr>
                    <w:t>文件</w:t>
                  </w:r>
                </w:p>
              </w:tc>
            </w:tr>
          </w:tbl>
          <w:p>
            <w:pPr>
              <w:jc w:val="left"/>
              <w:rPr>
                <w:rFonts w:hint="default" w:ascii="SimSun ! important" w:hAnsi="SimSun ! important" w:eastAsia="SimSun ! important" w:cs="SimSun ! important"/>
                <w:sz w:val="24"/>
                <w:szCs w:val="24"/>
              </w:rPr>
            </w:pPr>
          </w:p>
        </w:tc>
      </w:tr>
      <w:tr>
        <w:tblPrEx>
          <w:tblLayout w:type="fixed"/>
          <w:tblCellMar>
            <w:top w:w="0" w:type="dxa"/>
            <w:left w:w="0" w:type="dxa"/>
            <w:bottom w:w="0" w:type="dxa"/>
            <w:right w:w="0" w:type="dxa"/>
          </w:tblCellMar>
        </w:tblPrEx>
        <w:trPr>
          <w:tblCellSpacing w:w="0" w:type="dxa"/>
          <w:jc w:val="center"/>
        </w:trPr>
        <w:tc>
          <w:tcPr>
            <w:tcW w:w="8830" w:type="dxa"/>
            <w:tcBorders>
              <w:bottom w:val="single" w:color="FF0000" w:sz="18" w:space="0"/>
            </w:tcBorders>
            <w:shd w:val="clear"/>
            <w:tcMar>
              <w:top w:w="150" w:type="dxa"/>
              <w:left w:w="150" w:type="dxa"/>
              <w:bottom w:w="150" w:type="dxa"/>
              <w:right w:w="150" w:type="dxa"/>
            </w:tcMar>
            <w:vAlign w:val="center"/>
          </w:tcPr>
          <w:p>
            <w:pPr>
              <w:keepNext w:val="0"/>
              <w:keepLines w:val="0"/>
              <w:widowControl/>
              <w:suppressLineNumbers w:val="0"/>
              <w:spacing w:line="432" w:lineRule="auto"/>
              <w:ind w:left="0" w:firstLine="420"/>
              <w:jc w:val="center"/>
              <w:rPr>
                <w:rFonts w:hint="default" w:ascii="SimSun ! important" w:hAnsi="SimSun ! important" w:eastAsia="SimSun ! important" w:cs="SimSun ! important"/>
                <w:sz w:val="24"/>
                <w:szCs w:val="24"/>
              </w:rPr>
            </w:pPr>
            <w:r>
              <w:rPr>
                <w:rFonts w:hint="default" w:ascii="SimSun ! important" w:hAnsi="SimSun ! important" w:eastAsia="SimSun ! important" w:cs="SimSun ! important"/>
                <w:kern w:val="0"/>
                <w:sz w:val="24"/>
                <w:szCs w:val="24"/>
                <w:bdr w:val="none" w:color="auto" w:sz="0" w:space="0"/>
                <w:lang w:val="en-US" w:eastAsia="zh-CN" w:bidi="ar"/>
              </w:rPr>
              <w:t xml:space="preserve">国卫体改发〔2018〕4号 </w:t>
            </w:r>
          </w:p>
        </w:tc>
      </w:tr>
      <w:tr>
        <w:tblPrEx>
          <w:tblLayout w:type="fixed"/>
          <w:tblCellMar>
            <w:top w:w="0" w:type="dxa"/>
            <w:left w:w="0" w:type="dxa"/>
            <w:bottom w:w="0" w:type="dxa"/>
            <w:right w:w="0" w:type="dxa"/>
          </w:tblCellMar>
        </w:tblPrEx>
        <w:trPr>
          <w:tblCellSpacing w:w="0" w:type="dxa"/>
          <w:jc w:val="center"/>
        </w:trPr>
        <w:tc>
          <w:tcPr>
            <w:tcW w:w="8830" w:type="dxa"/>
            <w:shd w:val="clear"/>
            <w:tcMar>
              <w:top w:w="75" w:type="dxa"/>
              <w:bottom w:w="75" w:type="dxa"/>
            </w:tcMar>
            <w:vAlign w:val="center"/>
          </w:tcPr>
          <w:p>
            <w:pPr>
              <w:pStyle w:val="3"/>
              <w:keepNext w:val="0"/>
              <w:keepLines w:val="0"/>
              <w:widowControl/>
              <w:suppressLineNumbers w:val="0"/>
              <w:spacing w:line="432" w:lineRule="auto"/>
              <w:jc w:val="center"/>
            </w:pPr>
            <w:r>
              <w:t>关于巩固破除以药补医成果持续深化公立医院综合改革的通知</w:t>
            </w:r>
          </w:p>
        </w:tc>
      </w:tr>
      <w:tr>
        <w:tblPrEx>
          <w:tblLayout w:type="fixed"/>
          <w:tblCellMar>
            <w:top w:w="0" w:type="dxa"/>
            <w:left w:w="0" w:type="dxa"/>
            <w:bottom w:w="0" w:type="dxa"/>
            <w:right w:w="0" w:type="dxa"/>
          </w:tblCellMar>
        </w:tblPrEx>
        <w:trPr>
          <w:tblCellSpacing w:w="0" w:type="dxa"/>
          <w:jc w:val="center"/>
        </w:trPr>
        <w:tc>
          <w:tcPr>
            <w:tcW w:w="8830" w:type="dxa"/>
            <w:shd w:val="clear"/>
            <w:tcMar>
              <w:top w:w="75" w:type="dxa"/>
              <w:bottom w:w="75" w:type="dxa"/>
            </w:tcMar>
            <w:vAlign w:val="center"/>
          </w:tcPr>
          <w:p>
            <w:pPr>
              <w:keepNext w:val="0"/>
              <w:keepLines w:val="0"/>
              <w:widowControl/>
              <w:suppressLineNumbers w:val="0"/>
              <w:spacing w:line="432" w:lineRule="auto"/>
              <w:ind w:left="0" w:firstLine="0"/>
              <w:jc w:val="left"/>
              <w:rPr>
                <w:rFonts w:hint="default" w:ascii="SimSun ! important" w:hAnsi="SimSun ! important" w:eastAsia="SimSun ! important" w:cs="SimSun ! important"/>
                <w:sz w:val="24"/>
                <w:szCs w:val="24"/>
              </w:rPr>
            </w:pPr>
            <w:r>
              <w:rPr>
                <w:rFonts w:hint="default" w:ascii="SimSun ! important" w:hAnsi="SimSun ! important" w:eastAsia="SimSun ! important" w:cs="SimSun ! important"/>
                <w:kern w:val="0"/>
                <w:sz w:val="24"/>
                <w:szCs w:val="24"/>
                <w:bdr w:val="none" w:color="auto" w:sz="0" w:space="0"/>
                <w:lang w:val="en-US" w:eastAsia="zh-CN" w:bidi="ar"/>
              </w:rPr>
              <w:t xml:space="preserve">各省、自治区、直辖市及新疆生产建设兵团卫生计生委、财政厅（局）、发展改革委、人力资源社会保障厅（局）、中医药管理局、医改办: </w:t>
            </w:r>
          </w:p>
        </w:tc>
      </w:tr>
      <w:tr>
        <w:tblPrEx>
          <w:tblLayout w:type="fixed"/>
          <w:tblCellMar>
            <w:top w:w="0" w:type="dxa"/>
            <w:left w:w="0" w:type="dxa"/>
            <w:bottom w:w="0" w:type="dxa"/>
            <w:right w:w="0" w:type="dxa"/>
          </w:tblCellMar>
        </w:tblPrEx>
        <w:trPr>
          <w:tblCellSpacing w:w="0" w:type="dxa"/>
          <w:jc w:val="center"/>
        </w:trPr>
        <w:tc>
          <w:tcPr>
            <w:tcW w:w="8830" w:type="dxa"/>
            <w:shd w:val="clear"/>
            <w:tcMar>
              <w:top w:w="75" w:type="dxa"/>
              <w:bottom w:w="75"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after="0" w:line="440" w:lineRule="exact"/>
              <w:ind w:left="0" w:leftChars="0" w:right="0" w:rightChars="0" w:firstLine="420" w:firstLineChars="0"/>
              <w:jc w:val="left"/>
              <w:textAlignment w:val="auto"/>
              <w:outlineLvl w:val="9"/>
              <w:rPr>
                <w:rFonts w:hint="eastAsia" w:ascii="仿宋" w:hAnsi="仿宋" w:eastAsia="仿宋" w:cs="仿宋"/>
                <w:color w:val="484848"/>
                <w:sz w:val="28"/>
                <w:szCs w:val="28"/>
              </w:rPr>
            </w:pPr>
            <w:r>
              <w:rPr>
                <w:rFonts w:hint="eastAsia" w:ascii="仿宋" w:hAnsi="仿宋" w:eastAsia="仿宋" w:cs="仿宋"/>
                <w:color w:val="484848"/>
                <w:sz w:val="28"/>
                <w:szCs w:val="28"/>
                <w:bdr w:val="none" w:color="auto" w:sz="0" w:space="0"/>
              </w:rPr>
              <w:t> 　　公立医院综合改革是保障和改善民生的重要举措，是深化医药卫生体制改革的重中之重。目前，公立医院已全面推开综合改革，全部取消药品加成，逐步建立维护公益性、调动积极性、保障可持续的运行新机制，取得了重大阶段性成效。但公立医院综合改革是一项复杂的系统工程，涉及深刻的利益调整，仍面临一些困难和挑战，特别是公立医院运行新机制需要巩固完善，“三医”联动改革有待加强，重点领域和关键环节改革亟需深化，医务人员积极性有待进一步调动。为全面贯彻落实党的十九大精神，坚持以人民健康为中心、以问题为导向，全面取消以药补医，健全现代医院管理制度，现就巩固改革成果、持续深化改革有关工作通知如下：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一、巩固完善公立医院补偿新机制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各地要对全部取消药品加成进行阶段性总结评估，对公立医院运行情况进行全面深入分析，检验改革成效是否符合预期，将改革效果“验明白”。对公立医院取消药品加成减少的合理收入，要严格按照当地公立医院综合改革实施方案确定的补偿途径和比例执行，实现新旧机制平稳转换，确保公立医院良性运行。对照方案确定的各项改革政策，落实不到位的地区要查找原因、精准施策、限期整改。2018年4月底前，各地要将总结评估报告和整改措施报国务院医改办。2018年8月底前，整改措施要落实到位。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为巩固破除以药补医成果，中央财政在2018—2020年继续安排资金支持县级和城市公立医院综合改革。持续开展公立医院综合改革效果评价考核工作，根据考核结果分配公立医院综合改革专项补助资金，向人口大县和国家级贫困县倾斜，对真抓实干、改革成效明显的地方予以奖励补助，对改革进展滞后的地方扣减补助资金。各地在分配补助资金时，要将公立医院相关评价考核指标完成情况作为重要依据。地方各级财政要继续加大对公立医院综合改革的支持力度。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二、全面落实医疗服务体系规划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各地要严格按照医疗服务体系规划和资源配置标准，合理布局公立医院的数量和规模，增强规划的刚性约束，建立优质高效、上下贯通的整合型医疗服务体系，推动分级诊疗制度建设。各级各类公立医院要严格按照功能定位提供服务，将落实功能定位、体现公益性改革发展指标与财政补助、医保支付、薪酬水平和绩效工资总量以及院长薪酬、任免、奖惩等挂钩。公立医院的设置和改扩建、病床规模的扩大、大型医疗设备的购置等，无论何种资金渠道，必须按照区域卫生规划的要求和程序，严格审批，规范管理，强化问责。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三、健全现代医院管理制度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贯彻落实《国务院办公厅关于建立现代医院管理制度的指导意见》（国办发〔2017〕67号），2018年7月底前各省份制定具体实施方案。切实加强公立医院党的领导和党的建设，确保公立医院改革发展正确方向。以建立维护公益性、调动积极性、保障可持续的公立医院运行新机制和健全决策、执行、监督相互协调、相互制衡、相互促进的治理机制为目标，着力落实好政府对公立医院的举办、监管权责清单和公立医院经营管理自主权清单。2018年，国家卫生计生委和国家中医药管理局属管医院以及全国20%的二级以上公立医院、10%的社会办非营利性医院完成章程制定工作。建立以公益性为导向的公立医院考核评价机制，加强医疗服务质量和安全监管。严厉打击医药购销领域商业贿赂行为，坚决纠正医药购销和医疗服务中不正之风。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四、全面落实政府投入责任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各级政府要全面落实对符合区域卫生规划的公立医院基本建设和设备购置、重点学科发展、人才培养、符合国家规定的离退休人员费用和政策性亏损补贴等投入，对公立医院承担的公共卫生任务给予专项补助，保障政府指定的紧急救治、救灾、援外、支农、支边和城乡医院对口支援等公共服务经费。落实对中医院（民族医院）、传染病院、精神病院、职业病防治院、妇产医院、儿童医院以及康复医院等专科医院的投入倾斜政策。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五、持续控制医疗费用不合理增长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2018年，继续控制医疗费用不合理增长，逐步实现医疗费用增长与国民经济发展相协调。各地要根据近年来省、地市、县级经济社会发展情况和医疗费用增长情况，科学设定年度医疗费用增长控制指标，逐级分解到各地市、县（市、区、师），不搞“一刀切”；要结合各级各类公立医院功能定位、提供服务情况和建立分级诊疗制度要求，将控费指标细化分解到每家医院，不搞“一刀切”。国家卫生计生委和国家中医药管理局属管医院纳入属地医疗费用控制范围。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六、持续深化重点领域和关键环节改革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继续落实《国务院办公厅关于全面推开县级公立医院综合改革的实施意见》（国办发〔2015〕33号）和《国务院办公厅关于城市公立医院综合改革试点的指导意见》（国办发〔2015〕38号），进一步增强改革的系统性、整体性、协同性。2018年，全国公立医院药占比（不含中药饮片）、百元医疗收入（不含药品收入）中消耗的卫生材料费用总体较上年持续下降，医疗服务收入（不含药品、耗材、检查、化验收入）占医疗收入的比例总体较上年持续上升。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一）深化医疗服务价格改革。认真落实医疗服务价格改革政策，在前期取消药品加成并同步调整医疗服务价格基础上，通过规范诊疗行为，降低药品、耗材等费用腾出空间，进一步优化调整医疗服务价格，并做好与医保支付、医疗控费、分级诊疗等政策的相互衔接，保证医疗机构良性运行、医保基金可承受、群众负担总体不增加。到2020年，逐步建立以成本和收入结构变化为基础的价格动态调整机制，基本理顺医疗服务比价关系。深化医疗服务定价方式改革，进一步扩大按病种收费、按服务单元收费范围和数量。优化规范现有医疗服务价格项目，加快审核新增医疗服务价格项目，促进医疗新技术研发应用。对质量差异小、价格相近的同种高值医用耗材，探索实行纳入医疗服务打包收费，制定统一的医疗服务价格。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二）扎实推进医保支付方式改革。贯彻落实《国务院办公厅关于进一步深化基本医疗保险支付方式改革的指导意见》（国办发〔2017〕55号），建立并不断完善符合国情和医疗服务特点的医保支付体系。全面推行以按病种付费为重点的多元复合式医保支付方式，2018年国家统一确定100个以上的病种，指导各地推进实施。推进按疾病诊断相关分组（DRG）付费试点，完善按人头、按床日等多种付费方式。探索符合中医药服务特点的支付方式，鼓励提供和使用适宜的中医药服务。建立“结余留用、合理超支分担”的激励和风险分担机制，提高公立医院自我管理、控制成本的积极性。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三）持续深化药品耗材领域改革。贯彻落实改革完善药品生产流通使用政策，实行药品分类采购，鼓励跨区域和专科医院联合采购。2018年，各省份要将药品购销“两票制”方案落实落地，推进数据共享、违法线索互联、监管标准互通、处理结果互认。实行高值医用耗材分类集中采购，逐步推行高值医用耗材购销“两票制”。建立健全短缺药品供应保障体系和机制，更好满足临床合理用药需求。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四）扩大公立医院薪酬制度改革试点。按照人力资源社会保障部、财政部、国家卫生计生委、国家中医药管理局《关于开展公立医院薪酬制度改革试点工作的指导意见》（人社部发〔2017〕10号）和《关于扩大公立医院薪酬制度改革试点的通知》（人社部发〔2017〕92号）要求，积极做好试点工作，为探索建立适应我国医疗行业特点、体现以知识价值为导向的公立医院薪酬制度，调动医务人员的积极性、主动性、创造性，推动公立医院事业发展奠定基础。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七、全面开展便民惠民服务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2018—2020年实施新一轮改善医疗服务行动计划，持续增强群众就医获得感。加快推广预约诊疗、远程医疗、日间手术、日间化疗等医疗服务模式，提高医疗服务效率。推进胸痛中心、卒中中心、创伤中心等多学科联合诊疗模式建设，畅通院前院内急诊绿色通道。继续开展中医诊疗模式创新工作，优化中医药服务。充分利用信息化手段，推进检查检验结果查询、推送与互认，开展移动支付、出院患者床旁结算、门诊患者诊间结算等服务，使患者就医更加方便、快捷。依托区域全民健康信息平台，发挥互联网、大数据、人工智能等信息技术作用，打通医疗机构之间的信息通道，实现就诊卡和诊疗信息共享，在医联体内形成一体化的医疗服务，让信息多跑路、病人少跑腿。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八、加强示范引领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公立医院综合改革国家级示范城市、示范县（市、区、旗）要加大改革力度，在重点领域和关键环节先行先试、率先突破。确定若干现代医院管理制度示范医院，以点带面推动现代医院管理制度建设。各地要积极开展省级示范工作，加大对国家级、省级示范地区和医院的支持力度。根据公立医院综合改革效果评价考核结果，建立示范退出机制，对改革进展缓慢或工作停滞不前的示范地区和医院限期整改，整改不到位的撤销其示范资格。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0"/>
              <w:jc w:val="center"/>
              <w:textAlignment w:val="auto"/>
              <w:outlineLvl w:val="9"/>
              <w:rPr>
                <w:rFonts w:hint="eastAsia" w:ascii="仿宋" w:hAnsi="仿宋" w:eastAsia="仿宋" w:cs="仿宋"/>
                <w:color w:val="484848"/>
                <w:sz w:val="28"/>
                <w:szCs w:val="28"/>
              </w:rPr>
            </w:pP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国家卫生计生委  财政部</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国家发展改革委  人力资源社会保障部</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    国家中医药管理局  国务院医改办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2018年3月5日 </w:t>
            </w:r>
            <w:r>
              <w:rPr>
                <w:rFonts w:hint="eastAsia" w:ascii="仿宋" w:hAnsi="仿宋" w:eastAsia="仿宋" w:cs="仿宋"/>
                <w:color w:val="484848"/>
                <w:sz w:val="28"/>
                <w:szCs w:val="28"/>
                <w:bdr w:val="none" w:color="auto" w:sz="0" w:space="0"/>
              </w:rPr>
              <w:br w:type="textWrapping"/>
            </w:r>
            <w:r>
              <w:rPr>
                <w:rFonts w:hint="eastAsia" w:ascii="仿宋" w:hAnsi="仿宋" w:eastAsia="仿宋" w:cs="仿宋"/>
                <w:color w:val="484848"/>
                <w:sz w:val="28"/>
                <w:szCs w:val="28"/>
                <w:bdr w:val="none" w:color="auto" w:sz="0" w:space="0"/>
              </w:rPr>
              <w:t>（信息公开形式：主动公开）</w:t>
            </w:r>
          </w:p>
        </w:tc>
      </w:tr>
      <w:tr>
        <w:tblPrEx>
          <w:tblLayout w:type="fixed"/>
          <w:tblCellMar>
            <w:top w:w="0" w:type="dxa"/>
            <w:left w:w="0" w:type="dxa"/>
            <w:bottom w:w="0" w:type="dxa"/>
            <w:right w:w="0" w:type="dxa"/>
          </w:tblCellMar>
        </w:tblPrEx>
        <w:trPr>
          <w:tblCellSpacing w:w="0" w:type="dxa"/>
          <w:jc w:val="center"/>
        </w:trPr>
        <w:tc>
          <w:tcPr>
            <w:tcW w:w="8830" w:type="dxa"/>
            <w:tcBorders>
              <w:bottom w:val="single" w:color="000000" w:sz="6" w:space="0"/>
            </w:tcBorders>
            <w:shd w:val="clear"/>
            <w:tcMar>
              <w:top w:w="75" w:type="dxa"/>
              <w:bottom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ind w:left="0" w:leftChars="0" w:right="0" w:rightChars="0" w:firstLine="420" w:firstLineChars="0"/>
              <w:jc w:val="left"/>
              <w:textAlignment w:val="auto"/>
              <w:outlineLvl w:val="9"/>
              <w:rPr>
                <w:rFonts w:hint="eastAsia" w:ascii="仿宋" w:hAnsi="仿宋" w:eastAsia="仿宋" w:cs="仿宋"/>
                <w:b/>
                <w:sz w:val="28"/>
                <w:szCs w:val="28"/>
              </w:rPr>
            </w:pPr>
            <w:r>
              <w:rPr>
                <w:rFonts w:hint="eastAsia" w:ascii="仿宋" w:hAnsi="仿宋" w:eastAsia="仿宋" w:cs="仿宋"/>
                <w:b/>
                <w:kern w:val="0"/>
                <w:sz w:val="28"/>
                <w:szCs w:val="28"/>
                <w:bdr w:val="none" w:color="auto" w:sz="0" w:space="0"/>
                <w:lang w:val="en-US" w:eastAsia="zh-CN" w:bidi="ar"/>
              </w:rPr>
              <w:t xml:space="preserve">主题词： </w:t>
            </w:r>
          </w:p>
        </w:tc>
      </w:tr>
      <w:tr>
        <w:tblPrEx>
          <w:tblLayout w:type="fixed"/>
          <w:tblCellMar>
            <w:top w:w="0" w:type="dxa"/>
            <w:left w:w="0" w:type="dxa"/>
            <w:bottom w:w="0" w:type="dxa"/>
            <w:right w:w="0" w:type="dxa"/>
          </w:tblCellMar>
        </w:tblPrEx>
        <w:trPr>
          <w:tblCellSpacing w:w="0" w:type="dxa"/>
          <w:jc w:val="center"/>
        </w:trPr>
        <w:tc>
          <w:tcPr>
            <w:tcW w:w="8830" w:type="dxa"/>
            <w:shd w:val="clear"/>
            <w:tcMar>
              <w:top w:w="75" w:type="dxa"/>
              <w:bottom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ind w:left="0" w:leftChars="0" w:right="0" w:rightChars="0" w:firstLine="420" w:firstLineChars="0"/>
              <w:jc w:val="left"/>
              <w:textAlignment w:val="auto"/>
              <w:outlineLvl w:val="9"/>
              <w:rPr>
                <w:rFonts w:hint="eastAsia" w:ascii="仿宋" w:hAnsi="仿宋" w:eastAsia="仿宋" w:cs="仿宋"/>
                <w:sz w:val="28"/>
                <w:szCs w:val="28"/>
              </w:rPr>
            </w:pPr>
            <w:r>
              <w:rPr>
                <w:rFonts w:hint="eastAsia" w:ascii="仿宋" w:hAnsi="仿宋" w:eastAsia="仿宋" w:cs="仿宋"/>
                <w:kern w:val="0"/>
                <w:sz w:val="28"/>
                <w:szCs w:val="28"/>
                <w:bdr w:val="none" w:color="auto" w:sz="0" w:space="0"/>
                <w:lang w:val="en-US" w:eastAsia="zh-CN" w:bidi="ar"/>
              </w:rPr>
              <w:t xml:space="preserve">主送：各省、自治区、直辖市及新疆生产建设兵团卫生计生委、财政厅（局）、发展改革委、人力资源社会保障厅（局）、中医药管理局、医改办 </w:t>
            </w:r>
            <w:bookmarkStart w:id="0" w:name="_GoBack"/>
            <w:bookmarkEnd w:id="0"/>
          </w:p>
        </w:tc>
      </w:tr>
      <w:tr>
        <w:tblPrEx>
          <w:tblLayout w:type="fixed"/>
          <w:tblCellMar>
            <w:top w:w="0" w:type="dxa"/>
            <w:left w:w="0" w:type="dxa"/>
            <w:bottom w:w="0" w:type="dxa"/>
            <w:right w:w="0" w:type="dxa"/>
          </w:tblCellMar>
        </w:tblPrEx>
        <w:trPr>
          <w:tblCellSpacing w:w="0" w:type="dxa"/>
          <w:jc w:val="center"/>
        </w:trPr>
        <w:tc>
          <w:tcPr>
            <w:tcW w:w="8830" w:type="dxa"/>
            <w:tcBorders>
              <w:bottom w:val="single" w:color="000000" w:sz="6" w:space="0"/>
            </w:tcBorders>
            <w:shd w:val="clear"/>
            <w:tcMar>
              <w:top w:w="75" w:type="dxa"/>
              <w:bottom w:w="7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ind w:left="0" w:leftChars="0" w:right="0" w:rightChars="0" w:firstLine="420" w:firstLineChars="0"/>
              <w:jc w:val="left"/>
              <w:textAlignment w:val="auto"/>
              <w:outlineLvl w:val="9"/>
              <w:rPr>
                <w:rFonts w:hint="eastAsia" w:ascii="仿宋" w:hAnsi="仿宋" w:eastAsia="仿宋" w:cs="仿宋"/>
                <w:sz w:val="28"/>
                <w:szCs w:val="28"/>
              </w:rPr>
            </w:pPr>
            <w:r>
              <w:rPr>
                <w:rFonts w:hint="eastAsia" w:ascii="仿宋" w:hAnsi="仿宋" w:eastAsia="仿宋" w:cs="仿宋"/>
                <w:kern w:val="0"/>
                <w:sz w:val="28"/>
                <w:szCs w:val="28"/>
                <w:bdr w:val="none" w:color="auto" w:sz="0" w:space="0"/>
                <w:lang w:val="en-US" w:eastAsia="zh-CN" w:bidi="ar"/>
              </w:rPr>
              <w:t xml:space="preserve">抄送：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 importa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A70D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1" w:after="0" w:afterAutospacing="1" w:line="384" w:lineRule="auto"/>
      <w:jc w:val="center"/>
    </w:pPr>
    <w:rPr>
      <w:rFonts w:hint="eastAsia" w:ascii="宋体" w:hAnsi="宋体" w:eastAsia="宋体" w:cs="宋体"/>
      <w:b/>
      <w:kern w:val="0"/>
      <w:sz w:val="39"/>
      <w:szCs w:val="39"/>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firstLine="420"/>
      <w:jc w:val="left"/>
    </w:pPr>
    <w:rPr>
      <w:rFonts w:ascii="SimSun ! important" w:hAnsi="SimSun ! important" w:eastAsia="SimSun ! important" w:cs="SimSun ! important"/>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fengyx</cp:lastModifiedBy>
  <dcterms:modified xsi:type="dcterms:W3CDTF">2018-03-24T01:05:24Z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